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right"/>
      </w:pPr>
      <w:r>
        <w:rPr>
          <w:b/>
          <w:bCs/>
          <w:color w:val="0B234A"/>
          <w:sz w:val="20"/>
          <w:szCs w:val="20"/>
        </w:rPr>
        <w:t xml:space="preserve">CAP TCF  |  </w:t>
      </w:r>
      <w:r>
        <w:rPr>
          <w:color w:val="64748B"/>
          <w:sz w:val="18"/>
          <w:szCs w:val="18"/>
        </w:rPr>
        <w:t xml:space="preserve">Séance: S01  |  Niveau: A1-B2  |  Durée: 30 min  |  Compétence: CIVIQUE  |  </w:t>
      </w:r>
      <w:r>
        <w:rPr>
          <w:b/>
          <w:bCs/>
          <w:color w:val="FFFFFF"/>
          <w:sz w:val="18"/>
          <w:szCs w:val="18"/>
          <w:shd w:fill="2563EB"/>
        </w:rPr>
        <w:t xml:space="preserve"> APP </w:t>
      </w:r>
    </w:p>
    <w:p>
      <w:pPr>
        <w:spacing w:after="200"/>
      </w:pPr>
      <w:r>
        <w:rPr>
          <w:b/>
          <w:bCs/>
          <w:color w:val="0B234A"/>
          <w:sz w:val="32"/>
          <w:szCs w:val="32"/>
        </w:rPr>
        <w:t xml:space="preserve">Fiche Activité — Exploitation du Support Visuel</w:t>
      </w:r>
    </w:p>
    <w:p>
      <w:pPr>
        <w:pBdr>
          <w:bottom w:color="0B234A" w:sz="12" w:space="1"/>
        </w:pBdr>
        <w:spacing w:after="200"/>
      </w:pPr>
    </w:p>
    <w:p>
      <w:pPr>
        <w:pBdr>
          <w:left w:color="F47B20" w:sz="24" w:space="12"/>
        </w:pBdr>
        <w:shd w:fill="FFF7F0"/>
        <w:spacing w:after="150" w:before="150"/>
      </w:pPr>
      <w:r>
        <w:rPr>
          <w:b/>
          <w:bCs/>
          <w:color w:val="F47B20"/>
          <w:sz w:val="18"/>
          <w:szCs w:val="18"/>
        </w:rPr>
        <w:t xml:space="preserve">À FAIRE :
</w:t>
      </w:r>
      <w:r>
        <w:rPr>
          <w:color w:val="0B234A"/>
          <w:sz w:val="19"/>
          <w:szCs w:val="19"/>
        </w:rPr>
        <w:t xml:space="preserve">Observez attentivement le schéma ci-dessous, puis répondez aux questions.</w:t>
      </w:r>
    </w:p>
    <w:p>
      <w:pPr>
        <w:spacing w:after="100" w:before="150"/>
        <w:jc w:val="center"/>
      </w:pPr>
      <w:r>
        <w:drawing>
          <wp:inline distT="0" distB="0" distL="0" distR="0">
            <wp:extent cx="4762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75569"/>
          <w:sz w:val="18"/>
          <w:szCs w:val="18"/>
        </w:rPr>
        <w:t xml:space="preserve">Figure 1 : Cinq thèmes civiques du parcours CapTCF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Questions d'observation :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q1. Citez les trois premiers thèmes civiques mentionnés sur le schéma :</w:t>
      </w:r>
    </w:p>
    <w:p>
      <w:pPr>
        <w:spacing w:after="100" w:before="100"/>
      </w:pPr>
      <w:r>
        <w:rPr>
          <w:rFonts w:ascii="Arial" w:cs="Arial" w:eastAsia="Arial" w:hAnsi="Arial"/>
          <w:b w:val="false"/>
          <w:bCs w:val="false"/>
          <w:color w:val="94A3B8"/>
          <w:sz w:val="22"/>
          <w:szCs w:val="22"/>
        </w:rPr>
        <w:t xml:space="preserve">......................................................................................................................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q2. Quel est le rôle principal de ces thèmes civiques d'après le formateur ?</w:t>
      </w:r>
    </w:p>
    <w:p>
      <w:pPr>
        <w:spacing w:after="100" w:before="100"/>
      </w:pPr>
      <w:r>
        <w:rPr>
          <w:rFonts w:ascii="Arial" w:cs="Arial" w:eastAsia="Arial" w:hAnsi="Arial"/>
          <w:b w:val="false"/>
          <w:bCs w:val="false"/>
          <w:color w:val="94A3B8"/>
          <w:sz w:val="22"/>
          <w:szCs w:val="22"/>
        </w:rPr>
        <w:t xml:space="preserve">......................................................................................................................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6510c89e1a34f920b818160d8ce3e58a28c2c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2026-07-08T12:20:05.668Z</dcterms:created>
  <dcterms:modified xsi:type="dcterms:W3CDTF">2026-07-08T12:20:05.669Z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