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A2 Cible  |  Durée: 15 min  |  Compétence: CO  |  </w:t>
      </w:r>
      <w:r>
        <w:rPr>
          <w:b/>
          <w:bCs/>
          <w:color w:val="FFFFFF"/>
          <w:sz w:val="18"/>
          <w:szCs w:val="18"/>
          <w:shd w:fill="F47B20"/>
        </w:rPr>
        <w:t xml:space="preserve"> QCM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Préparation TCF — Test Compréhension Orale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EXAMEN TCF :
</w:t>
      </w:r>
      <w:r>
        <w:rPr>
          <w:color w:val="0B234A"/>
          <w:sz w:val="19"/>
          <w:szCs w:val="19"/>
        </w:rPr>
        <w:t xml:space="preserve">Écoutez attentivement le document sonore et cochez la case correcte.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Question 1 : Quel est l'hymne national de la France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La Marseillaise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L'Internationale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Le Chant des partisans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40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2026-07-08T12:14:17.904Z</dcterms:created>
  <dcterms:modified xsi:type="dcterms:W3CDTF">2026-07-08T12:14:17.904Z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