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A1-B2  |  Durée: 180 min  |  Compétence: CE / EE  |  </w:t>
      </w:r>
      <w:r>
        <w:rPr>
          <w:b/>
          <w:bCs/>
          <w:color w:val="FFFFFF"/>
          <w:sz w:val="18"/>
          <w:szCs w:val="18"/>
          <w:shd w:fill="065F46"/>
        </w:rPr>
        <w:t xml:space="preserve"> FOR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Formateur — Déroulé Pédagogique S02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PÉDAGOGIQUE :
</w:t>
      </w:r>
      <w:r>
        <w:rPr>
          <w:color w:val="0B234A"/>
          <w:sz w:val="19"/>
          <w:szCs w:val="19"/>
        </w:rPr>
        <w:t xml:space="preserve">Déroulé et timings obligatoires de 180 minutes. Adapter selon les profils.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Objectifs opérationnels de la séance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Séance état civil et symboles : chaque apprenant doit repartir avec (1) la capacité à compléter un formulaire d'état civil, (2) une demande écrite polie à une administration, (3) la connaissance des cinq symboles de la République. Rappeler que le formulaire et les horaires sont fictifs et signalés comme tels ; aucun document officiel n'est imité.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Déroulé Détaillé &amp; Timing (180 minutes)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1 : Rituel civique (10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Accueil &amp; Présentation visuelle collective. - Reperage des symboles de la Republique a partir du visuel maitre.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2 : Activation &amp; Lexique (20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Étude du glossaire et jeu de oui/non. - Decouverte du lexique (nom, prenom, devise, drapeau, hymne...).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3 : Support Invariant CO/CE (50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Écoutes progressives, décodage phonétique, puis lecture. - Ecoute du dialogue en mairie et lecture du formulaire fictif.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4 : Ateliers différenciés (60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Groupes de niveau, fiches d'activités autonomes. - Quatre groupes A1/A2/B1/B2 travaillent leur variante du meme support.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5 : Production EE/EO (30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Rédaction individuelle, relecture par les pairs. - Chaque apprenant redige une demande ecrite polie a la mairie.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065F46"/>
          <w:sz w:val="23"/>
          <w:szCs w:val="23"/>
        </w:rPr>
        <w:t xml:space="preserve">Phase 6 : Fixation &amp; Diagnostic (10 min)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Sous-étapes : Diagnostic civique, correction collective. - Synthese, QCM civique CSP, devoir personnalise.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Règles d'adaptation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Si le groupe confond devise et hymne, reprendre le lexique avant l'atelier B1.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Insister sur le caractere fictif du formulaire pour eviter toute confusion avec un document officiel.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065F46"/>
          <w:sz w:val="21"/>
          <w:szCs w:val="21"/>
        </w:rPr>
        <w:t xml:space="preserve">• Ne jamais remplacer l'audio publie par une improvisation : l'IA peut seulement l'expliquer ou le simplifier.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2026-07-08T12:14:13.204Z</dcterms:created>
  <dcterms:modified xsi:type="dcterms:W3CDTF">2026-07-08T12:14:13.204Z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