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D61" w:rsidRDefault="00C16D61" w:rsidP="00C16D61">
      <w:pPr>
        <w:pStyle w:val="Heading2"/>
      </w:pPr>
    </w:p>
    <w:p w:rsidR="00C16D61" w:rsidRDefault="00C16D61" w:rsidP="00C16D61">
      <w:pPr>
        <w:pStyle w:val="Heading2"/>
      </w:pPr>
      <w:r>
        <w:rPr>
          <w:noProof/>
          <w:lang w:val="en-US" w:eastAsia="en-US" w:bidi="ar-SA"/>
        </w:rPr>
        <w:drawing>
          <wp:anchor distT="0" distB="0" distL="114300" distR="114300" simplePos="0" relativeHeight="251660288" behindDoc="1" locked="0" layoutInCell="1" allowOverlap="1" wp14:anchorId="4E8E582F" wp14:editId="45D9E7ED">
            <wp:simplePos x="0" y="0"/>
            <wp:positionH relativeFrom="margin">
              <wp:posOffset>47625</wp:posOffset>
            </wp:positionH>
            <wp:positionV relativeFrom="line">
              <wp:align>top</wp:align>
            </wp:positionV>
            <wp:extent cx="540000" cy="540000"/>
            <wp:effectExtent l="0" t="0" r="0" b="0"/>
            <wp:wrapTight wrapText="bothSides">
              <wp:wrapPolygon edited="0">
                <wp:start x="4574" y="0"/>
                <wp:lineTo x="762" y="5336"/>
                <wp:lineTo x="0" y="10673"/>
                <wp:lineTo x="2287" y="15247"/>
                <wp:lineTo x="5336" y="19821"/>
                <wp:lineTo x="6861" y="20584"/>
                <wp:lineTo x="12198" y="20584"/>
                <wp:lineTo x="15247" y="19821"/>
                <wp:lineTo x="20584" y="15247"/>
                <wp:lineTo x="20584" y="9148"/>
                <wp:lineTo x="16009" y="3049"/>
                <wp:lineTo x="12198" y="0"/>
                <wp:lineTo x="4574"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icon.png"/>
                    <pic:cNvPicPr/>
                  </pic:nvPicPr>
                  <pic:blipFill>
                    <a:blip r:embed="rId6">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t>Telescope Mirror</w:t>
      </w:r>
    </w:p>
    <w:p w:rsidR="00C16D61" w:rsidRDefault="00C16D61" w:rsidP="00C16D61">
      <w:r>
        <w:t>Telescopes work by focusing light using either lenses or mirrors, or sometimes a combination of the two. Mirrors tend to be much lighter and easier to manufacture, and so almost all space telescopes – and large ground-based telescopes - use them instead of lenses</w:t>
      </w:r>
    </w:p>
    <w:p w:rsidR="00C16D61" w:rsidRDefault="00C16D61" w:rsidP="00C16D61">
      <w:r>
        <w:t>The mirror of a telescope is one of the most important parts. It collects the light and focuses it onto the scientific instruments. Bigger mirrors are able to collect more light, and therefore see fainter objects more easily. They also have a higher resolution, and so can see finer detail.</w:t>
      </w:r>
    </w:p>
    <w:p w:rsidR="00C16D61" w:rsidRDefault="00C16D61" w:rsidP="00C16D61">
      <w:r>
        <w:t>The maximum possible resolution of a telescope is given by:</w:t>
      </w:r>
    </w:p>
    <w:p w:rsidR="00C16D61" w:rsidRDefault="00C16D61" w:rsidP="00C16D61">
      <w:pPr>
        <w:jc w:val="center"/>
      </w:pPr>
      <w:bookmarkStart w:id="0" w:name="OLE_LINK3"/>
      <m:oMathPara>
        <m:oMath>
          <m:r>
            <w:rPr>
              <w:rFonts w:ascii="Cambria Math" w:hAnsi="Cambria Math"/>
            </w:rPr>
            <m:t>R≈1.22</m:t>
          </m:r>
          <m:f>
            <m:fPr>
              <m:ctrlPr>
                <w:rPr>
                  <w:rFonts w:ascii="Cambria Math" w:hAnsi="Cambria Math"/>
                </w:rPr>
              </m:ctrlPr>
            </m:fPr>
            <m:num>
              <m:r>
                <w:rPr>
                  <w:rFonts w:ascii="Cambria Math" w:hAnsi="Cambria Math"/>
                </w:rPr>
                <m:t>λ</m:t>
              </m:r>
              <m:ctrlPr>
                <w:rPr>
                  <w:rFonts w:ascii="Cambria Math" w:hAnsi="Cambria Math"/>
                  <w:i/>
                </w:rPr>
              </m:ctrlPr>
            </m:num>
            <m:den>
              <m:r>
                <w:rPr>
                  <w:rFonts w:ascii="Cambria Math" w:hAnsi="Cambria Math"/>
                </w:rPr>
                <m:t>D</m:t>
              </m:r>
            </m:den>
          </m:f>
          <w:bookmarkEnd w:id="0"/>
          <m:r>
            <m:rPr>
              <m:sty m:val="p"/>
            </m:rPr>
            <w:br/>
          </m:r>
        </m:oMath>
      </m:oMathPara>
      <w:proofErr w:type="gramStart"/>
      <w:r>
        <w:t>where</w:t>
      </w:r>
      <w:proofErr w:type="gramEnd"/>
      <w:r>
        <w:rPr>
          <w:i/>
        </w:rPr>
        <w:t xml:space="preserve"> </w:t>
      </w:r>
      <w:r w:rsidRPr="00747F61">
        <w:rPr>
          <w:rFonts w:ascii="Symbol" w:hAnsi="Symbol"/>
          <w:i/>
        </w:rPr>
        <w:t></w:t>
      </w:r>
      <w:r>
        <w:t xml:space="preserve"> is the wavelength of the light, </w:t>
      </w:r>
      <w:r>
        <w:rPr>
          <w:i/>
        </w:rPr>
        <w:t>D</w:t>
      </w:r>
      <w:r>
        <w:t xml:space="preserve"> is the diameter of the telescope. The value of R is in radians. You can convert to other units using the following relations:</w:t>
      </w:r>
    </w:p>
    <w:p w:rsidR="00C16D61" w:rsidRDefault="00C16D61" w:rsidP="00C16D61">
      <w:pPr>
        <w:jc w:val="center"/>
      </w:pPr>
      <w:r>
        <w:t xml:space="preserve">1 radian = </w:t>
      </w:r>
      <m:oMath>
        <m:f>
          <m:fPr>
            <m:type m:val="lin"/>
            <m:ctrlPr>
              <w:rPr>
                <w:rFonts w:ascii="Cambria Math" w:hAnsi="Cambria Math"/>
              </w:rPr>
            </m:ctrlPr>
          </m:fPr>
          <m:num>
            <m:r>
              <w:rPr>
                <w:rFonts w:ascii="Cambria Math" w:hAnsi="Cambria Math"/>
              </w:rPr>
              <m:t>180</m:t>
            </m:r>
          </m:num>
          <m:den>
            <m:r>
              <w:rPr>
                <w:rFonts w:ascii="Cambria Math" w:hAnsi="Cambria Math"/>
              </w:rPr>
              <m:t>π</m:t>
            </m:r>
          </m:den>
        </m:f>
      </m:oMath>
      <w:r>
        <w:t xml:space="preserve"> degrees </w:t>
      </w:r>
      <w:r>
        <w:tab/>
        <w:t xml:space="preserve">1 degree = 60 arcminutes </w:t>
      </w:r>
      <w:r>
        <w:tab/>
        <w:t>1 arcminute = 60 a</w:t>
      </w:r>
      <w:proofErr w:type="spellStart"/>
      <w:r>
        <w:t>rcseconds</w:t>
      </w:r>
      <w:proofErr w:type="spellEnd"/>
    </w:p>
    <w:p w:rsidR="00C16D61" w:rsidRDefault="00C16D61" w:rsidP="00C16D61">
      <w:r>
        <w:t>This gives the maximum possible resolution that a telescope mirror can provide, and is called the “</w:t>
      </w:r>
      <w:r>
        <w:rPr>
          <w:b/>
        </w:rPr>
        <w:t>diffraction limit</w:t>
      </w:r>
      <w:r>
        <w:t>”. Note that it is different for di</w:t>
      </w:r>
      <w:r>
        <w:t>fferent wavelengths. On some</w:t>
      </w:r>
      <w:r>
        <w:t xml:space="preserve"> satellites, not all instruments have taken advantage of this maximum resolution.</w:t>
      </w:r>
    </w:p>
    <w:p w:rsidR="00C16D61" w:rsidRDefault="00C16D61" w:rsidP="00C16D61">
      <w:pPr>
        <w:pStyle w:val="Style1"/>
      </w:pPr>
      <w:r>
        <w:t>Example calculation using the Hubble Space Telescope</w:t>
      </w:r>
    </w:p>
    <w:p w:rsidR="00C16D61" w:rsidRDefault="00C16D61" w:rsidP="00C16D61"/>
    <w:p w:rsidR="00C16D61" w:rsidRDefault="00C16D61" w:rsidP="00C16D61">
      <w:r>
        <w:t xml:space="preserve">The Hubble Space Telescope has a main mirror that is 2.4m across, so </w:t>
      </w:r>
      <m:oMath>
        <m:r>
          <w:rPr>
            <w:rFonts w:ascii="Cambria Math" w:hAnsi="Cambria Math"/>
          </w:rPr>
          <m:t xml:space="preserve">D=2.4 </m:t>
        </m:r>
        <m:r>
          <m:rPr>
            <m:nor/>
          </m:rPr>
          <w:rPr>
            <w:rFonts w:ascii="Cambria Math" w:hAnsi="Cambria Math"/>
          </w:rPr>
          <m:t>m</m:t>
        </m:r>
      </m:oMath>
      <w:r>
        <w:t xml:space="preserve">. It observes visible light, which has a wavelength of around 600 nm, so </w:t>
      </w:r>
      <m:oMath>
        <m:r>
          <w:rPr>
            <w:rFonts w:ascii="Cambria Math" w:hAnsi="Cambria Math"/>
          </w:rPr>
          <m:t xml:space="preserve">λ=600 </m:t>
        </m:r>
        <m:r>
          <m:rPr>
            <m:nor/>
          </m:rPr>
          <w:rPr>
            <w:rFonts w:ascii="Cambria Math" w:hAnsi="Cambria Math"/>
          </w:rPr>
          <m:t>nm</m:t>
        </m:r>
        <m:r>
          <w:rPr>
            <w:rFonts w:ascii="Cambria Math" w:hAnsi="Cambria Math"/>
          </w:rPr>
          <m:t>=6×</m:t>
        </m:r>
        <m:sSup>
          <m:sSupPr>
            <m:ctrlPr>
              <w:rPr>
                <w:rFonts w:ascii="Cambria Math" w:hAnsi="Cambria Math"/>
              </w:rPr>
            </m:ctrlPr>
          </m:sSupPr>
          <m:e>
            <m:r>
              <w:rPr>
                <w:rFonts w:ascii="Cambria Math" w:hAnsi="Cambria Math"/>
              </w:rPr>
              <m:t>10</m:t>
            </m:r>
          </m:e>
          <m:sup>
            <m:r>
              <w:rPr>
                <w:rFonts w:ascii="Cambria Math" w:hAnsi="Cambria Math"/>
              </w:rPr>
              <m:t>-7</m:t>
            </m:r>
          </m:sup>
        </m:sSup>
        <m:r>
          <m:rPr>
            <m:nor/>
          </m:rPr>
          <w:rPr>
            <w:rFonts w:ascii="Cambria Math" w:hAnsi="Cambria Math"/>
          </w:rPr>
          <m:t>m</m:t>
        </m:r>
      </m:oMath>
      <w:r>
        <w:t>. The resolution of the Hubble Space Telescope is:</w:t>
      </w:r>
    </w:p>
    <w:p w:rsidR="00C16D61" w:rsidRDefault="00C16D61" w:rsidP="00C16D61">
      <m:oMathPara>
        <m:oMath>
          <m:eqArr>
            <m:eqArrPr>
              <m:ctrlPr>
                <w:rPr>
                  <w:rFonts w:ascii="Cambria Math" w:hAnsi="Cambria Math"/>
                </w:rPr>
              </m:ctrlPr>
            </m:eqArrPr>
            <m:e>
              <m:r>
                <w:rPr>
                  <w:rFonts w:ascii="Cambria Math" w:hAnsi="Cambria Math"/>
                </w:rPr>
                <m:t>R≈1.22</m:t>
              </m:r>
              <m:f>
                <m:fPr>
                  <m:ctrlPr>
                    <w:rPr>
                      <w:rFonts w:ascii="Cambria Math" w:hAnsi="Cambria Math"/>
                    </w:rPr>
                  </m:ctrlPr>
                </m:fPr>
                <m:num>
                  <m:r>
                    <w:rPr>
                      <w:rFonts w:ascii="Cambria Math" w:hAnsi="Cambria Math"/>
                    </w:rPr>
                    <m:t>λ</m:t>
                  </m:r>
                </m:num>
                <m:den>
                  <m:r>
                    <w:rPr>
                      <w:rFonts w:ascii="Cambria Math" w:hAnsi="Cambria Math"/>
                    </w:rPr>
                    <m:t>D</m:t>
                  </m:r>
                </m:den>
              </m:f>
            </m:e>
            <m:e>
              <m:m>
                <m:mPr>
                  <m:mcs>
                    <m:mc>
                      <m:mcPr>
                        <m:count m:val="2"/>
                        <m:mcJc m:val="center"/>
                      </m:mcPr>
                    </m:mc>
                  </m:mcs>
                  <m:ctrlPr>
                    <w:rPr>
                      <w:rFonts w:ascii="Cambria Math" w:hAnsi="Cambria Math"/>
                    </w:rPr>
                  </m:ctrlPr>
                </m:mPr>
                <m:mr>
                  <m:e>
                    <m:r>
                      <w:rPr>
                        <w:rFonts w:ascii="Cambria Math" w:hAnsi="Cambria Math"/>
                      </w:rPr>
                      <m:t>1.22</m:t>
                    </m:r>
                    <m:f>
                      <m:fPr>
                        <m:ctrlPr>
                          <w:rPr>
                            <w:rFonts w:ascii="Cambria Math" w:hAnsi="Cambria Math"/>
                          </w:rPr>
                        </m:ctrlPr>
                      </m:fPr>
                      <m:num>
                        <m:r>
                          <w:rPr>
                            <w:rFonts w:ascii="Cambria Math" w:hAnsi="Cambria Math"/>
                          </w:rPr>
                          <m:t>6×</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2.4</m:t>
                        </m:r>
                      </m:den>
                    </m:f>
                  </m:e>
                  <m:e>
                    <m:r>
                      <w:rPr>
                        <w:rFonts w:ascii="Cambria Math" w:hAnsi="Cambria Math"/>
                      </w:rPr>
                      <m:t>3.05×</m:t>
                    </m:r>
                    <m:sSup>
                      <m:sSupPr>
                        <m:ctrlPr>
                          <w:rPr>
                            <w:rFonts w:ascii="Cambria Math" w:hAnsi="Cambria Math"/>
                          </w:rPr>
                        </m:ctrlPr>
                      </m:sSupPr>
                      <m:e>
                        <m:r>
                          <w:rPr>
                            <w:rFonts w:ascii="Cambria Math" w:hAnsi="Cambria Math"/>
                          </w:rPr>
                          <m:t>10</m:t>
                        </m:r>
                      </m:e>
                      <m:sup>
                        <m:r>
                          <w:rPr>
                            <w:rFonts w:ascii="Cambria Math" w:hAnsi="Cambria Math"/>
                          </w:rPr>
                          <m:t>-7</m:t>
                        </m:r>
                      </m:sup>
                    </m:sSup>
                    <m:r>
                      <m:rPr>
                        <m:nor/>
                      </m:rPr>
                      <w:rPr>
                        <w:rFonts w:ascii="Cambria Math" w:hAnsi="Cambria Math"/>
                      </w:rPr>
                      <m:t>radians</m:t>
                    </m:r>
                  </m:e>
                </m:mr>
                <m:mr>
                  <m:e/>
                  <m:e>
                    <m:r>
                      <w:rPr>
                        <w:rFonts w:ascii="Cambria Math" w:hAnsi="Cambria Math"/>
                      </w:rPr>
                      <m:t xml:space="preserve">0.06 </m:t>
                    </m:r>
                    <m:r>
                      <m:rPr>
                        <m:nor/>
                      </m:rPr>
                      <w:rPr>
                        <w:rFonts w:ascii="Cambria Math" w:hAnsi="Cambria Math"/>
                      </w:rPr>
                      <m:t>arcseconds</m:t>
                    </m:r>
                    <m:r>
                      <w:rPr>
                        <w:rFonts w:ascii="Cambria Math" w:hAnsi="Cambria Math"/>
                      </w:rPr>
                      <m:t>.</m:t>
                    </m:r>
                  </m:e>
                </m:mr>
              </m:m>
            </m:e>
          </m:eqArr>
        </m:oMath>
      </m:oMathPara>
    </w:p>
    <w:p w:rsidR="00C16D61" w:rsidRDefault="00C16D61" w:rsidP="00C16D61">
      <w:pPr>
        <w:rPr>
          <w:b/>
          <w:bCs/>
        </w:rPr>
      </w:pPr>
      <w:r>
        <w:br w:type="page"/>
      </w:r>
    </w:p>
    <w:p w:rsidR="00C16D61" w:rsidRDefault="00C16D61" w:rsidP="00C16D61">
      <w:pPr>
        <w:pStyle w:val="Heading3"/>
      </w:pPr>
      <w:r>
        <w:rPr>
          <w:noProof/>
          <w:lang w:val="en-US" w:eastAsia="en-US"/>
        </w:rPr>
        <w:lastRenderedPageBreak/>
        <w:drawing>
          <wp:anchor distT="0" distB="0" distL="114300" distR="114300" simplePos="0" relativeHeight="251659264" behindDoc="1" locked="0" layoutInCell="1" allowOverlap="1" wp14:anchorId="6DF467BE" wp14:editId="543CCA4D">
            <wp:simplePos x="723900" y="1171575"/>
            <wp:positionH relativeFrom="margin">
              <wp:align>left</wp:align>
            </wp:positionH>
            <wp:positionV relativeFrom="margin">
              <wp:align>top</wp:align>
            </wp:positionV>
            <wp:extent cx="572400" cy="5724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Q-icon.png"/>
                    <pic:cNvPicPr/>
                  </pic:nvPicPr>
                  <pic:blipFill>
                    <a:blip r:embed="rId7">
                      <a:extLst>
                        <a:ext uri="{28A0092B-C50C-407E-A947-70E740481C1C}">
                          <a14:useLocalDpi xmlns:a14="http://schemas.microsoft.com/office/drawing/2010/main" val="0"/>
                        </a:ext>
                      </a:extLst>
                    </a:blip>
                    <a:stretch>
                      <a:fillRect/>
                    </a:stretch>
                  </pic:blipFill>
                  <pic:spPr>
                    <a:xfrm>
                      <a:off x="0" y="0"/>
                      <a:ext cx="572400" cy="572400"/>
                    </a:xfrm>
                    <a:prstGeom prst="rect">
                      <a:avLst/>
                    </a:prstGeom>
                  </pic:spPr>
                </pic:pic>
              </a:graphicData>
            </a:graphic>
            <wp14:sizeRelH relativeFrom="margin">
              <wp14:pctWidth>0</wp14:pctWidth>
            </wp14:sizeRelH>
            <wp14:sizeRelV relativeFrom="margin">
              <wp14:pctHeight>0</wp14:pctHeight>
            </wp14:sizeRelV>
          </wp:anchor>
        </w:drawing>
      </w:r>
      <w:r>
        <w:t>Questions</w:t>
      </w:r>
    </w:p>
    <w:p w:rsidR="00C16D61" w:rsidRPr="003B6CFE" w:rsidRDefault="00C16D61" w:rsidP="00C16D61"/>
    <w:p w:rsidR="00C16D61" w:rsidRDefault="00C16D61" w:rsidP="00C16D61">
      <w:pPr>
        <w:pStyle w:val="QuestionHeading"/>
        <w:numPr>
          <w:ilvl w:val="0"/>
          <w:numId w:val="3"/>
        </w:numPr>
      </w:pPr>
      <w:r>
        <w:t xml:space="preserve">Calculate the resolution of the Lovell Telescope at </w:t>
      </w:r>
      <w:proofErr w:type="spellStart"/>
      <w:r>
        <w:t>Jodrell</w:t>
      </w:r>
      <w:proofErr w:type="spellEnd"/>
      <w:r>
        <w:t xml:space="preserve"> Bank. The main dish is 76 m across, and it typically works at a wavelength of around 21 cm. </w:t>
      </w:r>
    </w:p>
    <w:p w:rsidR="00C16D61" w:rsidRDefault="00C16D61" w:rsidP="00C16D61">
      <w:pPr>
        <w:pStyle w:val="Question"/>
      </w:pPr>
    </w:p>
    <w:p w:rsidR="00C16D61" w:rsidRDefault="00C16D61" w:rsidP="00C16D61">
      <w:pPr>
        <w:pStyle w:val="Question"/>
      </w:pPr>
    </w:p>
    <w:p w:rsidR="00C16D61" w:rsidRDefault="00C16D61" w:rsidP="00C16D61">
      <w:pPr>
        <w:pStyle w:val="Question"/>
      </w:pPr>
    </w:p>
    <w:p w:rsidR="00C16D61" w:rsidRPr="00EB22EA" w:rsidRDefault="00C16D61" w:rsidP="00C16D61">
      <w:pPr>
        <w:pStyle w:val="QuestionHeading"/>
      </w:pPr>
      <w:r w:rsidRPr="00EB22EA">
        <w:t>How does that compare to the Hubble Space Telescope?</w:t>
      </w:r>
    </w:p>
    <w:p w:rsidR="00C16D61" w:rsidRDefault="00C16D61" w:rsidP="00C16D61">
      <w:pPr>
        <w:pStyle w:val="Question"/>
      </w:pPr>
    </w:p>
    <w:p w:rsidR="00C16D61" w:rsidRDefault="00C16D61" w:rsidP="00C16D61">
      <w:pPr>
        <w:pStyle w:val="Question"/>
      </w:pPr>
    </w:p>
    <w:p w:rsidR="00C16D61" w:rsidRDefault="00C16D61" w:rsidP="00C16D61">
      <w:pPr>
        <w:pStyle w:val="Question"/>
      </w:pPr>
    </w:p>
    <w:p w:rsidR="00C16D61" w:rsidRDefault="00C16D61" w:rsidP="00C16D61">
      <w:pPr>
        <w:pStyle w:val="QuestionHeading"/>
      </w:pPr>
      <w:r>
        <w:t>If a telescope were to have the same resolution as the Hubble Space Telescope, but observe wavelengths of 100 microns, what diameter mirror would it need? [1 micron = 1 millionth of a metre]</w:t>
      </w:r>
    </w:p>
    <w:p w:rsidR="00C16D61" w:rsidRDefault="00C16D61" w:rsidP="00C16D61">
      <w:pPr>
        <w:pStyle w:val="Question"/>
      </w:pPr>
    </w:p>
    <w:p w:rsidR="00C16D61" w:rsidRDefault="00C16D61" w:rsidP="00C16D61">
      <w:pPr>
        <w:pStyle w:val="Question"/>
      </w:pPr>
    </w:p>
    <w:p w:rsidR="00C16D61" w:rsidRDefault="00C16D61" w:rsidP="00C16D61">
      <w:pPr>
        <w:pStyle w:val="Question"/>
      </w:pPr>
    </w:p>
    <w:p w:rsidR="00B91BE1" w:rsidRPr="00C16D61" w:rsidRDefault="00B91BE1">
      <w:pPr>
        <w:rPr>
          <w:rFonts w:asciiTheme="majorHAnsi" w:eastAsiaTheme="majorEastAsia" w:hAnsiTheme="majorHAnsi" w:cstheme="majorBidi"/>
          <w:b/>
          <w:bCs/>
          <w:i/>
          <w:iCs/>
          <w:color w:val="4F81BD" w:themeColor="accent1"/>
        </w:rPr>
      </w:pPr>
      <w:bookmarkStart w:id="1" w:name="_GoBack"/>
      <w:bookmarkEnd w:id="1"/>
    </w:p>
    <w:sectPr w:rsidR="00B91BE1" w:rsidRPr="00C16D61" w:rsidSect="00B91BE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7441D"/>
    <w:multiLevelType w:val="multilevel"/>
    <w:tmpl w:val="C21410A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AAC3AE3"/>
    <w:multiLevelType w:val="hybridMultilevel"/>
    <w:tmpl w:val="2BE69DF8"/>
    <w:lvl w:ilvl="0" w:tplc="A00EC326">
      <w:start w:val="1"/>
      <w:numFmt w:val="decimal"/>
      <w:pStyle w:val="QuestionHeading"/>
      <w:lvlText w:val="Q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D61"/>
    <w:rsid w:val="00B91BE1"/>
    <w:rsid w:val="00C16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E74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61"/>
    <w:pPr>
      <w:spacing w:after="200" w:line="276" w:lineRule="auto"/>
    </w:pPr>
    <w:rPr>
      <w:sz w:val="22"/>
      <w:szCs w:val="22"/>
      <w:lang w:val="en-GB" w:eastAsia="en-GB"/>
    </w:rPr>
  </w:style>
  <w:style w:type="paragraph" w:styleId="Heading2">
    <w:name w:val="heading 2"/>
    <w:basedOn w:val="Normal"/>
    <w:next w:val="Normal"/>
    <w:link w:val="Heading2Char"/>
    <w:qFormat/>
    <w:rsid w:val="00C16D61"/>
    <w:pPr>
      <w:widowControl w:val="0"/>
      <w:suppressAutoHyphens/>
      <w:spacing w:before="238" w:after="119"/>
      <w:outlineLvl w:val="1"/>
    </w:pPr>
    <w:rPr>
      <w:rFonts w:eastAsia="WenQuanYi Micro Hei" w:cs="Lohit Hindi"/>
      <w:b/>
      <w:sz w:val="32"/>
      <w:szCs w:val="24"/>
      <w:lang w:eastAsia="hi-IN" w:bidi="hi-IN"/>
    </w:rPr>
  </w:style>
  <w:style w:type="paragraph" w:styleId="Heading3">
    <w:name w:val="heading 3"/>
    <w:basedOn w:val="Normal"/>
    <w:next w:val="Normal"/>
    <w:link w:val="Heading3Char"/>
    <w:qFormat/>
    <w:rsid w:val="00C16D61"/>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6D61"/>
    <w:rPr>
      <w:rFonts w:eastAsia="WenQuanYi Micro Hei" w:cs="Lohit Hindi"/>
      <w:b/>
      <w:sz w:val="32"/>
      <w:lang w:val="en-GB" w:eastAsia="hi-IN" w:bidi="hi-IN"/>
    </w:rPr>
  </w:style>
  <w:style w:type="character" w:customStyle="1" w:styleId="Heading3Char">
    <w:name w:val="Heading 3 Char"/>
    <w:basedOn w:val="DefaultParagraphFont"/>
    <w:link w:val="Heading3"/>
    <w:rsid w:val="00C16D61"/>
    <w:rPr>
      <w:b/>
      <w:bCs/>
      <w:sz w:val="22"/>
      <w:szCs w:val="22"/>
      <w:lang w:val="en-GB" w:eastAsia="en-GB"/>
    </w:rPr>
  </w:style>
  <w:style w:type="paragraph" w:customStyle="1" w:styleId="Question">
    <w:name w:val="Question"/>
    <w:basedOn w:val="Normal"/>
    <w:link w:val="QuestionChar"/>
    <w:qFormat/>
    <w:rsid w:val="00C16D61"/>
    <w:pPr>
      <w:widowControl w:val="0"/>
      <w:pBdr>
        <w:top w:val="single" w:sz="24" w:space="0" w:color="D9D9D9"/>
        <w:left w:val="single" w:sz="24" w:space="0" w:color="D9D9D9"/>
        <w:bottom w:val="single" w:sz="24" w:space="0" w:color="D9D9D9"/>
        <w:right w:val="single" w:sz="24" w:space="0" w:color="D9D9D9"/>
      </w:pBdr>
      <w:shd w:val="clear" w:color="auto" w:fill="FFFFFF"/>
      <w:suppressAutoHyphens/>
      <w:ind w:left="357"/>
    </w:pPr>
    <w:rPr>
      <w:rFonts w:eastAsia="WenQuanYi Micro Hei" w:cs="Lohit Hindi"/>
      <w:szCs w:val="24"/>
      <w:lang w:eastAsia="hi-IN" w:bidi="hi-IN"/>
    </w:rPr>
  </w:style>
  <w:style w:type="paragraph" w:customStyle="1" w:styleId="QuestionHeading">
    <w:name w:val="Question Heading"/>
    <w:basedOn w:val="Question"/>
    <w:link w:val="QuestionHeadingChar"/>
    <w:autoRedefine/>
    <w:qFormat/>
    <w:rsid w:val="00C16D61"/>
    <w:pPr>
      <w:numPr>
        <w:numId w:val="2"/>
      </w:numPr>
      <w:shd w:val="clear" w:color="auto" w:fill="D9D9D9"/>
      <w:spacing w:before="200" w:after="0"/>
    </w:pPr>
    <w:rPr>
      <w:b/>
    </w:rPr>
  </w:style>
  <w:style w:type="paragraph" w:customStyle="1" w:styleId="Style1">
    <w:name w:val="Style1"/>
    <w:basedOn w:val="QuestionHeading"/>
    <w:link w:val="Style1Char"/>
    <w:qFormat/>
    <w:rsid w:val="00C16D61"/>
    <w:pPr>
      <w:numPr>
        <w:numId w:val="0"/>
      </w:numPr>
    </w:pPr>
  </w:style>
  <w:style w:type="character" w:customStyle="1" w:styleId="QuestionChar">
    <w:name w:val="Question Char"/>
    <w:basedOn w:val="DefaultParagraphFont"/>
    <w:link w:val="Question"/>
    <w:rsid w:val="00C16D61"/>
    <w:rPr>
      <w:rFonts w:eastAsia="WenQuanYi Micro Hei" w:cs="Lohit Hindi"/>
      <w:sz w:val="22"/>
      <w:shd w:val="clear" w:color="auto" w:fill="FFFFFF"/>
      <w:lang w:val="en-GB" w:eastAsia="hi-IN" w:bidi="hi-IN"/>
    </w:rPr>
  </w:style>
  <w:style w:type="character" w:customStyle="1" w:styleId="QuestionHeadingChar">
    <w:name w:val="Question Heading Char"/>
    <w:basedOn w:val="QuestionChar"/>
    <w:link w:val="QuestionHeading"/>
    <w:rsid w:val="00C16D61"/>
    <w:rPr>
      <w:rFonts w:eastAsia="WenQuanYi Micro Hei" w:cs="Lohit Hindi"/>
      <w:b/>
      <w:sz w:val="22"/>
      <w:shd w:val="clear" w:color="auto" w:fill="D9D9D9"/>
      <w:lang w:val="en-GB" w:eastAsia="hi-IN" w:bidi="hi-IN"/>
    </w:rPr>
  </w:style>
  <w:style w:type="character" w:customStyle="1" w:styleId="Style1Char">
    <w:name w:val="Style1 Char"/>
    <w:basedOn w:val="QuestionHeadingChar"/>
    <w:link w:val="Style1"/>
    <w:rsid w:val="00C16D61"/>
    <w:rPr>
      <w:rFonts w:eastAsia="WenQuanYi Micro Hei" w:cs="Lohit Hindi"/>
      <w:b/>
      <w:sz w:val="22"/>
      <w:shd w:val="clear" w:color="auto" w:fill="D9D9D9"/>
      <w:lang w:val="en-GB" w:eastAsia="hi-IN" w:bidi="hi-IN"/>
    </w:rPr>
  </w:style>
  <w:style w:type="paragraph" w:styleId="BalloonText">
    <w:name w:val="Balloon Text"/>
    <w:basedOn w:val="Normal"/>
    <w:link w:val="BalloonTextChar"/>
    <w:uiPriority w:val="99"/>
    <w:semiHidden/>
    <w:unhideWhenUsed/>
    <w:rsid w:val="00C16D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D61"/>
    <w:rPr>
      <w:rFonts w:ascii="Lucida Grande" w:hAnsi="Lucida Grande" w:cs="Lucida Grande"/>
      <w:sz w:val="18"/>
      <w:szCs w:val="18"/>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61"/>
    <w:pPr>
      <w:spacing w:after="200" w:line="276" w:lineRule="auto"/>
    </w:pPr>
    <w:rPr>
      <w:sz w:val="22"/>
      <w:szCs w:val="22"/>
      <w:lang w:val="en-GB" w:eastAsia="en-GB"/>
    </w:rPr>
  </w:style>
  <w:style w:type="paragraph" w:styleId="Heading2">
    <w:name w:val="heading 2"/>
    <w:basedOn w:val="Normal"/>
    <w:next w:val="Normal"/>
    <w:link w:val="Heading2Char"/>
    <w:qFormat/>
    <w:rsid w:val="00C16D61"/>
    <w:pPr>
      <w:widowControl w:val="0"/>
      <w:suppressAutoHyphens/>
      <w:spacing w:before="238" w:after="119"/>
      <w:outlineLvl w:val="1"/>
    </w:pPr>
    <w:rPr>
      <w:rFonts w:eastAsia="WenQuanYi Micro Hei" w:cs="Lohit Hindi"/>
      <w:b/>
      <w:sz w:val="32"/>
      <w:szCs w:val="24"/>
      <w:lang w:eastAsia="hi-IN" w:bidi="hi-IN"/>
    </w:rPr>
  </w:style>
  <w:style w:type="paragraph" w:styleId="Heading3">
    <w:name w:val="heading 3"/>
    <w:basedOn w:val="Normal"/>
    <w:next w:val="Normal"/>
    <w:link w:val="Heading3Char"/>
    <w:qFormat/>
    <w:rsid w:val="00C16D61"/>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6D61"/>
    <w:rPr>
      <w:rFonts w:eastAsia="WenQuanYi Micro Hei" w:cs="Lohit Hindi"/>
      <w:b/>
      <w:sz w:val="32"/>
      <w:lang w:val="en-GB" w:eastAsia="hi-IN" w:bidi="hi-IN"/>
    </w:rPr>
  </w:style>
  <w:style w:type="character" w:customStyle="1" w:styleId="Heading3Char">
    <w:name w:val="Heading 3 Char"/>
    <w:basedOn w:val="DefaultParagraphFont"/>
    <w:link w:val="Heading3"/>
    <w:rsid w:val="00C16D61"/>
    <w:rPr>
      <w:b/>
      <w:bCs/>
      <w:sz w:val="22"/>
      <w:szCs w:val="22"/>
      <w:lang w:val="en-GB" w:eastAsia="en-GB"/>
    </w:rPr>
  </w:style>
  <w:style w:type="paragraph" w:customStyle="1" w:styleId="Question">
    <w:name w:val="Question"/>
    <w:basedOn w:val="Normal"/>
    <w:link w:val="QuestionChar"/>
    <w:qFormat/>
    <w:rsid w:val="00C16D61"/>
    <w:pPr>
      <w:widowControl w:val="0"/>
      <w:pBdr>
        <w:top w:val="single" w:sz="24" w:space="0" w:color="D9D9D9"/>
        <w:left w:val="single" w:sz="24" w:space="0" w:color="D9D9D9"/>
        <w:bottom w:val="single" w:sz="24" w:space="0" w:color="D9D9D9"/>
        <w:right w:val="single" w:sz="24" w:space="0" w:color="D9D9D9"/>
      </w:pBdr>
      <w:shd w:val="clear" w:color="auto" w:fill="FFFFFF"/>
      <w:suppressAutoHyphens/>
      <w:ind w:left="357"/>
    </w:pPr>
    <w:rPr>
      <w:rFonts w:eastAsia="WenQuanYi Micro Hei" w:cs="Lohit Hindi"/>
      <w:szCs w:val="24"/>
      <w:lang w:eastAsia="hi-IN" w:bidi="hi-IN"/>
    </w:rPr>
  </w:style>
  <w:style w:type="paragraph" w:customStyle="1" w:styleId="QuestionHeading">
    <w:name w:val="Question Heading"/>
    <w:basedOn w:val="Question"/>
    <w:link w:val="QuestionHeadingChar"/>
    <w:autoRedefine/>
    <w:qFormat/>
    <w:rsid w:val="00C16D61"/>
    <w:pPr>
      <w:numPr>
        <w:numId w:val="2"/>
      </w:numPr>
      <w:shd w:val="clear" w:color="auto" w:fill="D9D9D9"/>
      <w:spacing w:before="200" w:after="0"/>
    </w:pPr>
    <w:rPr>
      <w:b/>
    </w:rPr>
  </w:style>
  <w:style w:type="paragraph" w:customStyle="1" w:styleId="Style1">
    <w:name w:val="Style1"/>
    <w:basedOn w:val="QuestionHeading"/>
    <w:link w:val="Style1Char"/>
    <w:qFormat/>
    <w:rsid w:val="00C16D61"/>
    <w:pPr>
      <w:numPr>
        <w:numId w:val="0"/>
      </w:numPr>
    </w:pPr>
  </w:style>
  <w:style w:type="character" w:customStyle="1" w:styleId="QuestionChar">
    <w:name w:val="Question Char"/>
    <w:basedOn w:val="DefaultParagraphFont"/>
    <w:link w:val="Question"/>
    <w:rsid w:val="00C16D61"/>
    <w:rPr>
      <w:rFonts w:eastAsia="WenQuanYi Micro Hei" w:cs="Lohit Hindi"/>
      <w:sz w:val="22"/>
      <w:shd w:val="clear" w:color="auto" w:fill="FFFFFF"/>
      <w:lang w:val="en-GB" w:eastAsia="hi-IN" w:bidi="hi-IN"/>
    </w:rPr>
  </w:style>
  <w:style w:type="character" w:customStyle="1" w:styleId="QuestionHeadingChar">
    <w:name w:val="Question Heading Char"/>
    <w:basedOn w:val="QuestionChar"/>
    <w:link w:val="QuestionHeading"/>
    <w:rsid w:val="00C16D61"/>
    <w:rPr>
      <w:rFonts w:eastAsia="WenQuanYi Micro Hei" w:cs="Lohit Hindi"/>
      <w:b/>
      <w:sz w:val="22"/>
      <w:shd w:val="clear" w:color="auto" w:fill="D9D9D9"/>
      <w:lang w:val="en-GB" w:eastAsia="hi-IN" w:bidi="hi-IN"/>
    </w:rPr>
  </w:style>
  <w:style w:type="character" w:customStyle="1" w:styleId="Style1Char">
    <w:name w:val="Style1 Char"/>
    <w:basedOn w:val="QuestionHeadingChar"/>
    <w:link w:val="Style1"/>
    <w:rsid w:val="00C16D61"/>
    <w:rPr>
      <w:rFonts w:eastAsia="WenQuanYi Micro Hei" w:cs="Lohit Hindi"/>
      <w:b/>
      <w:sz w:val="22"/>
      <w:shd w:val="clear" w:color="auto" w:fill="D9D9D9"/>
      <w:lang w:val="en-GB" w:eastAsia="hi-IN" w:bidi="hi-IN"/>
    </w:rPr>
  </w:style>
  <w:style w:type="paragraph" w:styleId="BalloonText">
    <w:name w:val="Balloon Text"/>
    <w:basedOn w:val="Normal"/>
    <w:link w:val="BalloonTextChar"/>
    <w:uiPriority w:val="99"/>
    <w:semiHidden/>
    <w:unhideWhenUsed/>
    <w:rsid w:val="00C16D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D61"/>
    <w:rPr>
      <w:rFonts w:ascii="Lucida Grande" w:hAnsi="Lucida Grande" w:cs="Lucida Grande"/>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288</Words>
  <Characters>1646</Characters>
  <Application>Microsoft Macintosh Word</Application>
  <DocSecurity>0</DocSecurity>
  <Lines>13</Lines>
  <Paragraphs>3</Paragraphs>
  <ScaleCrop>false</ScaleCrop>
  <Company>LCOGT</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Hughes</dc:creator>
  <cp:keywords/>
  <dc:description/>
  <cp:lastModifiedBy>Jake Hughes</cp:lastModifiedBy>
  <cp:revision>1</cp:revision>
  <dcterms:created xsi:type="dcterms:W3CDTF">2013-12-05T11:14:00Z</dcterms:created>
  <dcterms:modified xsi:type="dcterms:W3CDTF">2013-12-05T11:21:00Z</dcterms:modified>
</cp:coreProperties>
</file>