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8" w:name="content"/>
    <w:bookmarkStart w:id="47" w:name="Xf4a932020df123da1a614a9ecd592b58014a9a9"/>
    <w:p>
      <w:pPr>
        <w:pStyle w:val="Heading1"/>
      </w:pPr>
      <w:r>
        <w:rPr>
          <w:rFonts w:hint="eastAsia"/>
        </w:rPr>
        <w:t xml:space="preserve">橋牌通信微積分：以</w:t>
      </w:r>
      <w:r>
        <w:t xml:space="preserve"> Bridge Communication Calculus </w:t>
      </w:r>
      <w:r>
        <w:rPr>
          <w:rFonts w:hint="eastAsia"/>
        </w:rPr>
        <w:t xml:space="preserve">概念文為基礎的深度研究報告</w:t>
      </w:r>
    </w:p>
    <w:bookmarkStart w:id="27" w:name="執行摘要"/>
    <w:p>
      <w:pPr>
        <w:pStyle w:val="Heading2"/>
      </w:pPr>
      <w:r>
        <w:rPr>
          <w:rFonts w:hint="eastAsia"/>
        </w:rPr>
        <w:t xml:space="preserve">執行摘要</w:t>
      </w:r>
    </w:p>
    <w:p>
      <w:pPr>
        <w:pStyle w:val="FirstParagraph"/>
      </w:pPr>
      <w:r>
        <w:rPr>
          <w:rFonts w:hint="eastAsia"/>
        </w:rPr>
        <w:t xml:space="preserve">使用者提供的「這篇」文章為一份未見公開發表（無</w:t>
      </w:r>
      <w:r>
        <w:t xml:space="preserve"> </w:t>
      </w:r>
      <w:r>
        <w:rPr>
          <w:rFonts w:hint="eastAsia"/>
        </w:rPr>
        <w:t xml:space="preserve">DOI、無可核驗公開連結）的概念性手稿，題名為「Bridge</w:t>
      </w:r>
      <w:r>
        <w:t xml:space="preserve"> Communication </w:t>
      </w:r>
      <w:r>
        <w:rPr>
          <w:rFonts w:hint="eastAsia"/>
        </w:rPr>
        <w:t xml:space="preserve">Calculus（橋牌通信微積分／信號演算系統）」。其核心主張是：把橋牌叫牌視為</w:t>
      </w:r>
      <w:r>
        <w:rPr>
          <w:rFonts w:hint="eastAsia"/>
          <w:b/>
          <w:bCs/>
        </w:rPr>
        <w:t xml:space="preserve">受規則約束的通信協議</w:t>
      </w:r>
      <w:r>
        <w:rPr>
          <w:rFonts w:hint="eastAsia"/>
        </w:rPr>
        <w:t xml:space="preserve">，並嘗試融合三條理論主線——（一）以通信演算/程序代數刻畫多方互動序列（如</w:t>
      </w:r>
      <w:r>
        <w:t xml:space="preserve"> CCS、π-calculus </w:t>
      </w:r>
      <w:r>
        <w:rPr>
          <w:rFonts w:hint="eastAsia"/>
        </w:rPr>
        <w:t xml:space="preserve">的思路），（二）以信號博弈與貝氏推論刻畫「叫牌≒訊息→更新對同伴/對手手牌的信念」，（三）用資訊理論（互資訊）量化每一步叫牌的「資訊增益」，並進一步構想一套可執行的</w:t>
      </w:r>
      <w:r>
        <w:t xml:space="preserve"> </w:t>
      </w:r>
      <w:r>
        <w:rPr>
          <w:rFonts w:hint="eastAsia"/>
        </w:rPr>
        <w:t xml:space="preserve">DSL（文中稱</w:t>
      </w:r>
      <w:r>
        <w:t xml:space="preserve"> </w:t>
      </w:r>
      <w:r>
        <w:rPr>
          <w:rFonts w:hint="eastAsia"/>
        </w:rPr>
        <w:t xml:space="preserve">BBDSL）與推理器/驗證器，讓叫牌系統可被形式化、檢查一致性、甚至用於可解釋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從公開文獻回溯，這份手稿的方向並非憑空出現：早在</w:t>
      </w:r>
      <w:r>
        <w:t xml:space="preserve"> 1993 </w:t>
      </w:r>
      <w:r>
        <w:rPr>
          <w:rFonts w:hint="eastAsia"/>
        </w:rPr>
        <w:t xml:space="preserve">年，University</w:t>
      </w:r>
      <w:r>
        <w:t xml:space="preserve"> of Cambridge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的技術報告就明確把「叫牌制度」視為一種人工語言的語義，並主張強橋牌</w:t>
      </w:r>
      <w:r>
        <w:t xml:space="preserve"> AI </w:t>
      </w:r>
      <w:r>
        <w:rPr>
          <w:rFonts w:hint="eastAsia"/>
        </w:rPr>
        <w:t xml:space="preserve">的瓶頸在於</w:t>
      </w:r>
      <w:r>
        <w:rPr>
          <w:rFonts w:hint="eastAsia"/>
          <w:b/>
          <w:bCs/>
        </w:rPr>
        <w:t xml:space="preserve">需要顯式推理知識、語用、機率與計畫</w:t>
      </w:r>
      <w:r>
        <w:t xml:space="preserve">。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同時，橋牌運動本身的規則也把「搭檔溝通」嚴格限制在</w:t>
      </w:r>
      <w:r>
        <w:rPr>
          <w:rFonts w:hint="eastAsia"/>
          <w:b/>
          <w:bCs/>
        </w:rPr>
        <w:t xml:space="preserve">叫品與出牌</w:t>
      </w:r>
      <w:r>
        <w:rPr>
          <w:rFonts w:hint="eastAsia"/>
        </w:rPr>
        <w:t xml:space="preserve">，並把停頓、語氣、手勢等視為「未授權資訊（UI）」來源；任何形式化「通信」框架若不把這些規範內生化，很容易與實務/裁判體系脫節。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近五年（約</w:t>
      </w:r>
      <w:r>
        <w:t xml:space="preserve"> </w:t>
      </w:r>
      <w:r>
        <w:rPr>
          <w:rFonts w:hint="eastAsia"/>
        </w:rPr>
        <w:t xml:space="preserve">2021–2026）與該手稿最直接相連的前沿，其實集中在「叫牌</w:t>
      </w:r>
      <w:r>
        <w:t xml:space="preserve"> </w:t>
      </w:r>
      <w:r>
        <w:rPr>
          <w:rFonts w:hint="eastAsia"/>
        </w:rPr>
        <w:t xml:space="preserve">AI」：研究大量採用</w:t>
      </w:r>
      <w:r>
        <w:rPr>
          <w:rFonts w:hint="eastAsia"/>
          <w:b/>
          <w:bCs/>
        </w:rPr>
        <w:t xml:space="preserve">監督式學習＋自我對弈強化學習＋（可選）測試時搜尋/信念網路</w:t>
      </w:r>
      <w:r>
        <w:rPr>
          <w:rFonts w:hint="eastAsia"/>
        </w:rPr>
        <w:t xml:space="preserve">的混合架構，並以</w:t>
      </w:r>
      <w:r>
        <w:t xml:space="preserve"> WBridge5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與</w:t>
      </w:r>
      <w:r>
        <w:t xml:space="preserve"> OpenSpiel </w:t>
      </w:r>
      <w:r>
        <w:rPr>
          <w:rFonts w:hint="eastAsia"/>
        </w:rPr>
        <w:t xml:space="preserve">資料集作為主要基準。代表性成果顯示：加入「信念建模＋測試時搜尋」可在對戰</w:t>
      </w:r>
      <w:r>
        <w:t xml:space="preserve"> WBridge5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IMP/牌局指標上取得顯著提升；同時也有工作證明「簡單訓練配方＋大量資料＋穩定自我對弈」即可達到或超越既有</w:t>
      </w:r>
      <w:r>
        <w:t xml:space="preserve"> </w:t>
      </w:r>
      <w:r>
        <w:rPr>
          <w:rFonts w:hint="eastAsia"/>
        </w:rPr>
        <w:t xml:space="preserve">SOTA，並開源以利可重現。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另一些近作把叫牌序列轉為「約束」或「手牌機率分佈」後，用於抽樣與搜尋（例如首攻決策），強化了「把叫牌當成資訊通道」這一該手稿的直覺。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方法論上，這份概念文最大的優勢是「跨域整合的問題定義」：它把橋牌叫牌同時置於形式語義、博弈訊號、資訊量化三個座標系中，天然適合往</w:t>
      </w:r>
      <w:r>
        <w:rPr>
          <w:rFonts w:hint="eastAsia"/>
          <w:b/>
          <w:bCs/>
        </w:rPr>
        <w:t xml:space="preserve">可驗證（verification）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可解釋（explainability）</w:t>
      </w:r>
      <w:r>
        <w:rPr>
          <w:rFonts w:hint="eastAsia"/>
        </w:rPr>
        <w:t xml:space="preserve">方向延伸。但其證據強度目前偏低：文本尚未給出可機器檢查的完整語法/操作語義、也未提出可重現的實驗設計（資料、評測、消融、與現代叫牌</w:t>
      </w:r>
      <w:r>
        <w:t xml:space="preserve"> AI </w:t>
      </w:r>
      <w:r>
        <w:rPr>
          <w:rFonts w:hint="eastAsia"/>
        </w:rPr>
        <w:t xml:space="preserve">基準的對齊），因此現階段更接近「研究議程（research</w:t>
      </w:r>
      <w:r>
        <w:t xml:space="preserve"> </w:t>
      </w:r>
      <w:r>
        <w:rPr>
          <w:rFonts w:hint="eastAsia"/>
        </w:rPr>
        <w:t xml:space="preserve">agenda）」而不是「已驗證的方法」。</w:t>
      </w:r>
    </w:p>
    <w:p>
      <w:pPr>
        <w:pStyle w:val="BodyText"/>
      </w:pPr>
      <w:r>
        <w:rPr>
          <w:rFonts w:hint="eastAsia"/>
        </w:rPr>
        <w:t xml:space="preserve">基於上述盤點，本報告提出</w:t>
      </w:r>
      <w:r>
        <w:t xml:space="preserve"> 5 </w:t>
      </w:r>
      <w:r>
        <w:rPr>
          <w:rFonts w:hint="eastAsia"/>
        </w:rPr>
        <w:t xml:space="preserve">項可立即落地的後續研究/實務建議：建立「合法性/揭露義務」約束的形式化核心、把叫牌制度譯為可驗證</w:t>
      </w:r>
      <w:r>
        <w:t xml:space="preserve"> </w:t>
      </w:r>
      <w:r>
        <w:rPr>
          <w:rFonts w:hint="eastAsia"/>
        </w:rPr>
        <w:t xml:space="preserve">DSL、結合互資訊設計叫牌系統的資訊效率指標、建立跨制度資料與對手干擾下的評測協議、以及把形式推理與神經模型做「可解釋對齊」，用於教學與人機協作。每項建議均附帶預期成果、所需資源與風險控管，目標是把概念性的</w:t>
      </w:r>
      <w:r>
        <w:t xml:space="preserve"> BCC </w:t>
      </w:r>
      <w:r>
        <w:rPr>
          <w:rFonts w:hint="eastAsia"/>
        </w:rPr>
        <w:t xml:space="preserve">轉化為可評測、可驗證、可用於訓練與比賽合規的工程與研究框架。</w:t>
      </w:r>
      <w:hyperlink r:id="rId23">
        <w:r>
          <w:rPr>
            <w:rStyle w:val="Hyperlink"/>
          </w:rPr>
          <w:t xml:space="preserve">[7]</w:t>
        </w:r>
      </w:hyperlink>
    </w:p>
    <w:bookmarkEnd w:id="27"/>
    <w:bookmarkStart w:id="29" w:name="原文辨識與內容概述"/>
    <w:p>
      <w:pPr>
        <w:pStyle w:val="Heading2"/>
      </w:pPr>
      <w:r>
        <w:rPr>
          <w:rFonts w:hint="eastAsia"/>
        </w:rPr>
        <w:t xml:space="preserve">原文辨識與內容概述</w:t>
      </w:r>
    </w:p>
    <w:p>
      <w:pPr>
        <w:pStyle w:val="FirstParagraph"/>
      </w:pPr>
      <w:r>
        <w:rPr>
          <w:rFonts w:hint="eastAsia"/>
        </w:rPr>
        <w:t xml:space="preserve">本次研究以使用者上傳文件「BridgeCommunicationCalculus.md」作為「這篇」原文基礎；該文件本身未提供可公開檢索的正式出版資訊（如</w:t>
      </w:r>
      <w:r>
        <w:t xml:space="preserve"> DOI </w:t>
      </w:r>
      <w:r>
        <w:rPr>
          <w:rFonts w:hint="eastAsia"/>
        </w:rPr>
        <w:t xml:space="preserve">或期刊/會議連結），因此「被引用情況」無法用</w:t>
      </w:r>
      <w:r>
        <w:t xml:space="preserve"> Google </w:t>
      </w:r>
      <w:r>
        <w:rPr>
          <w:rFonts w:hint="eastAsia"/>
        </w:rPr>
        <w:t xml:space="preserve">Scholar/引用索引直接追蹤，只能就公開網路以關鍵字做可重現的查找。</w:t>
      </w:r>
    </w:p>
    <w:p>
      <w:pPr>
        <w:pStyle w:val="BodyText"/>
      </w:pPr>
      <w:r>
        <w:rPr>
          <w:rFonts w:hint="eastAsia"/>
        </w:rPr>
        <w:t xml:space="preserve">就內容而言，該文把橋牌叫牌抽象為一個「通信演算系統」，包含：玩家代理（同伴/對手）、手牌類型（如牌型/點力）、叫品集合、叫牌歷史、信念狀態，以及呼叫貝氏更新來修正對同伴/對手手牌的後驗分布，同時以互資訊衡量每個叫品對降低不確定性的貢獻，並構想用</w:t>
      </w:r>
      <w:r>
        <w:t xml:space="preserve"> DSL </w:t>
      </w:r>
      <w:r>
        <w:rPr>
          <w:rFonts w:hint="eastAsia"/>
        </w:rPr>
        <w:t xml:space="preserve">描述叫牌制度、用推理器檢查一致性與推導最佳行動。其思想與「叫牌是受約定語義約束的訊息傳遞」相容，也與現代叫牌</w:t>
      </w:r>
      <w:r>
        <w:t xml:space="preserve"> AI </w:t>
      </w:r>
      <w:r>
        <w:rPr>
          <w:rFonts w:hint="eastAsia"/>
        </w:rPr>
        <w:t xml:space="preserve">常見的「用叫牌序列推斷他家手牌分佈/約束」相呼應。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在「原文是否可於公開網路找到」方面，以完全一致字串</w:t>
      </w:r>
      <w:r>
        <w:t xml:space="preserve"> “Bridge Communication Calculus” </w:t>
      </w:r>
      <w:r>
        <w:rPr>
          <w:rFonts w:hint="eastAsia"/>
        </w:rPr>
        <w:t xml:space="preserve">進行一般搜尋時，結果多落在與橋牌無關的「calculus」用法（如微積分教學或其他領域的</w:t>
      </w:r>
      <w:r>
        <w:t xml:space="preserve"> </w:t>
      </w:r>
      <w:r>
        <w:rPr>
          <w:rFonts w:hint="eastAsia"/>
        </w:rPr>
        <w:t xml:space="preserve">calculus），未出現可辨識為同一手稿的正式發表頁面，故目前合理判斷它屬於未公開發表或尚未被索引的概念文。</w:t>
      </w:r>
      <w:hyperlink r:id="rId28">
        <w:r>
          <w:rPr>
            <w:rStyle w:val="Hyperlink"/>
          </w:rPr>
          <w:t xml:space="preserve">[9]</w:t>
        </w:r>
      </w:hyperlink>
    </w:p>
    <w:bookmarkEnd w:id="29"/>
    <w:bookmarkStart w:id="38" w:name="引用網絡與知識脈絡"/>
    <w:p>
      <w:pPr>
        <w:pStyle w:val="Heading2"/>
      </w:pPr>
      <w:r>
        <w:rPr>
          <w:rFonts w:hint="eastAsia"/>
        </w:rPr>
        <w:t xml:space="preserve">引用網絡與知識脈絡</w:t>
      </w:r>
    </w:p>
    <w:p>
      <w:pPr>
        <w:pStyle w:val="FirstParagraph"/>
      </w:pPr>
      <w:r>
        <w:rPr>
          <w:rFonts w:hint="eastAsia"/>
        </w:rPr>
        <w:t xml:space="preserve">原文在文末明示引用兩個來源：一是通信演算（CCS）的綜述性條目（以百科頁面指涉），二是把「最佳化後驗信念設計」視為演算法問題的</w:t>
      </w:r>
      <w:r>
        <w:t xml:space="preserve"> arXiv </w:t>
      </w:r>
      <w:r>
        <w:rPr>
          <w:rFonts w:hint="eastAsia"/>
        </w:rPr>
        <w:t xml:space="preserve">論文（Mixture</w:t>
      </w:r>
      <w:r>
        <w:t xml:space="preserve"> </w:t>
      </w:r>
      <w:r>
        <w:rPr>
          <w:rFonts w:hint="eastAsia"/>
        </w:rPr>
        <w:t xml:space="preserve">Selection）。就嚴謹性而言，若以「原始/官方」優先，CCS</w:t>
      </w:r>
      <w:r>
        <w:t xml:space="preserve"> </w:t>
      </w:r>
      <w:r>
        <w:rPr>
          <w:rFonts w:hint="eastAsia"/>
        </w:rPr>
        <w:t xml:space="preserve">的基礎應回到</w:t>
      </w:r>
      <w:r>
        <w:t xml:space="preserve"> 1986 </w:t>
      </w:r>
      <w:r>
        <w:rPr>
          <w:rFonts w:hint="eastAsia"/>
        </w:rPr>
        <w:t xml:space="preserve">年的技術報告《A</w:t>
      </w:r>
      <w:r>
        <w:t xml:space="preserve"> Calculus of Communicating </w:t>
      </w:r>
      <w:r>
        <w:rPr>
          <w:rFonts w:hint="eastAsia"/>
        </w:rPr>
        <w:t xml:space="preserve">Systems》，它以同步通信、組合子與行為等價（如</w:t>
      </w:r>
      <w:r>
        <w:t xml:space="preserve"> bisimulation </w:t>
      </w:r>
      <w:r>
        <w:rPr>
          <w:rFonts w:hint="eastAsia"/>
        </w:rPr>
        <w:t xml:space="preserve">的家族思想）奠定了後續程序代數的語彙。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而</w:t>
      </w:r>
      <w:r>
        <w:t xml:space="preserve"> π-calculus </w:t>
      </w:r>
      <w:r>
        <w:rPr>
          <w:rFonts w:hint="eastAsia"/>
        </w:rPr>
        <w:t xml:space="preserve">作為「可傳遞通訊連結/名字、描述網路拓樸可變」的程序代數，提供了「通信可改變連線結構」的形式化工具，對應到橋牌叫牌中「一個叫品改變未來可用叫品/推論路徑」的直覺。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在「信號/信念更新」主線上，原文把叫牌直觀地視為信號博弈：送訊者（某家）以叫品傳遞關於私有資訊（手牌）的訊息，接收者（同伴/對手）更新信念並回應。這一思想可對應到經典的策略性資訊傳遞模型（例如</w:t>
      </w:r>
      <w:r>
        <w:t xml:space="preserve"> 1982 </w:t>
      </w:r>
      <w:r>
        <w:rPr>
          <w:rFonts w:hint="eastAsia"/>
        </w:rPr>
        <w:t xml:space="preserve">年的</w:t>
      </w:r>
      <w:r>
        <w:t xml:space="preserve"> Strategic Information </w:t>
      </w:r>
      <w:r>
        <w:rPr>
          <w:rFonts w:hint="eastAsia"/>
        </w:rPr>
        <w:t xml:space="preserve">Transmission），其分析重點是：當送受雙方目標不完全一致時，訊息可能出現「合併（pooling）」或「粗粒度揭露」，而非完全揭露。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原文另外提到用互資訊量化叫品資訊量，則可追溯到資訊理論對「訊息不確定性」與「資訊量」的定義框架。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更關鍵的是：橋牌不是任意通信系統，而是被規則強制塑形的通信。World</w:t>
      </w:r>
      <w:r>
        <w:t xml:space="preserve"> Bridge Federation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《複式橋牌規則》明確把搭檔間「可能暗示叫品或出牌」的額外訊息（言語、詢問、回答、未預期的</w:t>
      </w:r>
      <w:r>
        <w:t xml:space="preserve"> </w:t>
      </w:r>
      <w:r>
        <w:rPr>
          <w:rFonts w:hint="eastAsia"/>
        </w:rPr>
        <w:t xml:space="preserve">alert、停頓、語氣、手勢等）列為「未授權資訊」，並要求不得選擇「明顯受</w:t>
      </w:r>
      <w:r>
        <w:t xml:space="preserve"> UI </w:t>
      </w:r>
      <w:r>
        <w:rPr>
          <w:rFonts w:hint="eastAsia"/>
        </w:rPr>
        <w:t xml:space="preserve">暗示」且存在邏輯替代行動的叫品/打法。</w:t>
      </w:r>
      <w:hyperlink r:id="rId23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其官方解說文件亦強調：alert</w:t>
      </w:r>
      <w:r>
        <w:t xml:space="preserve"> </w:t>
      </w:r>
      <w:r>
        <w:rPr>
          <w:rFonts w:hint="eastAsia"/>
        </w:rPr>
        <w:t xml:space="preserve">與回答問題是為了讓</w:t>
      </w:r>
      <w:r>
        <w:rPr>
          <w:rFonts w:hint="eastAsia"/>
          <w:b/>
          <w:bCs/>
        </w:rPr>
        <w:t xml:space="preserve">對手</w:t>
      </w:r>
      <w:r>
        <w:rPr>
          <w:rFonts w:hint="eastAsia"/>
        </w:rPr>
        <w:t xml:space="preserve">理解約定，不能作為與同伴合法溝通的途徑。</w:t>
      </w:r>
      <w:hyperlink r:id="rId35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在中文材料上，中華民國合約橋牌協會（文件提供者）對術語的雙語定義也強調「叫牌是由連續叫品決定合約的過程」，並定義「人為叫品」為傳遞之訊息偏離一般認知、不單純表示願意打該名目等。</w:t>
      </w:r>
      <w:hyperlink r:id="rId36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這些規則約束意味著：若要把</w:t>
      </w:r>
      <w:r>
        <w:t xml:space="preserve"> BCC </w:t>
      </w:r>
      <w:r>
        <w:rPr>
          <w:rFonts w:hint="eastAsia"/>
        </w:rPr>
        <w:t xml:space="preserve">做成「可用於比賽/教學的形式框架」，必須把「合法資訊來源/揭露義務/人為叫品與誤叫」納入模型，而不只是抽象地談訊息效用。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值得注意的是，早期語用學/AI</w:t>
      </w:r>
      <w:r>
        <w:t xml:space="preserve"> </w:t>
      </w:r>
      <w:r>
        <w:rPr>
          <w:rFonts w:hint="eastAsia"/>
        </w:rPr>
        <w:t xml:space="preserve">社群已把橋牌叫牌當作「人工語言＋語用行為」的試驗場：University</w:t>
      </w:r>
      <w:r>
        <w:t xml:space="preserve"> of Cambridge Computer Laboratory</w:t>
      </w:r>
      <w:hyperlink r:id="rId37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於</w:t>
      </w:r>
      <w:r>
        <w:t xml:space="preserve"> 1993 </w:t>
      </w:r>
      <w:r>
        <w:rPr>
          <w:rFonts w:hint="eastAsia"/>
        </w:rPr>
        <w:t xml:space="preserve">年的報告（TR-299）指出叫牌制度可視為人工語言的語義，並用一個名為</w:t>
      </w:r>
      <w:r>
        <w:t xml:space="preserve"> Pragma </w:t>
      </w:r>
      <w:r>
        <w:rPr>
          <w:rFonts w:hint="eastAsia"/>
        </w:rPr>
        <w:t xml:space="preserve">的系統嘗試結合規則推理、隨機模擬與神經網路學習。</w:t>
      </w:r>
      <w:hyperlink r:id="rId22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這條脈絡與本次概念文的「把叫牌做成可計算的語義/推理系統」高度一致，顯示</w:t>
      </w:r>
      <w:r>
        <w:t xml:space="preserve"> BCC </w:t>
      </w:r>
      <w:r>
        <w:rPr>
          <w:rFonts w:hint="eastAsia"/>
        </w:rPr>
        <w:t xml:space="preserve">的定位可以被更精準地說成：站在「Pragmatics-in-bridge」傳統之上，吸收近年深度學習與形式驗證的工具，把叫牌語義由「口頭約定」推進到「可驗證之規格」。</w:t>
      </w:r>
      <w:hyperlink r:id="rId2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以下以流程圖整理「BCC</w:t>
      </w:r>
      <w:r>
        <w:t xml:space="preserve"> </w:t>
      </w:r>
      <w:r>
        <w:rPr>
          <w:rFonts w:hint="eastAsia"/>
        </w:rPr>
        <w:t xml:space="preserve">概念」所牽動的引用網絡（以知識主線呈現，而非僅列參考文獻）：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A[橋牌規則：合法資訊/揭露義務/UI]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B[叫牌=受限通信協議]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C[程序代數：CCS/π-calculus]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D[互動序列的形式語義]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E[策略性資訊傳遞/信號博弈]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F[信念更新與均衡/偏誤]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G[資訊理論：熵/互資訊]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H[量化資訊增益與效率]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I[BCC：語法+操作語義+信念更新+資訊度量]</w:t>
      </w:r>
      <w:r>
        <w:br/>
      </w:r>
      <w:r>
        <w:rPr>
          <w:rStyle w:val="VerbatimChar"/>
        </w:rPr>
        <w:t xml:space="preserve">  D --&gt; I</w:t>
      </w:r>
      <w:r>
        <w:br/>
      </w:r>
      <w:r>
        <w:rPr>
          <w:rStyle w:val="VerbatimChar"/>
        </w:rPr>
        <w:t xml:space="preserve">  F --&gt; I</w:t>
      </w:r>
      <w:r>
        <w:br/>
      </w:r>
      <w:r>
        <w:rPr>
          <w:rStyle w:val="VerbatimChar"/>
        </w:rPr>
        <w:t xml:space="preserve">  H --&gt; I</w:t>
      </w:r>
      <w:r>
        <w:br/>
      </w:r>
      <w:r>
        <w:rPr>
          <w:rStyle w:val="VerbatimChar"/>
        </w:rPr>
        <w:t xml:space="preserve">  I --&gt; </w:t>
      </w:r>
      <w:r>
        <w:rPr>
          <w:rStyle w:val="VerbatimChar"/>
          <w:rFonts w:hint="eastAsia"/>
        </w:rPr>
        <w:t xml:space="preserve">J[DSL/推理器：一致性檢查、可解釋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AI、教學工具]</w:t>
      </w:r>
      <w:r>
        <w:br/>
      </w:r>
      <w:r>
        <w:rPr>
          <w:rStyle w:val="VerbatimChar"/>
        </w:rPr>
        <w:t xml:space="preserve">  J --&gt; </w:t>
      </w:r>
      <w:r>
        <w:rPr>
          <w:rStyle w:val="VerbatimChar"/>
          <w:rFonts w:hint="eastAsia"/>
        </w:rPr>
        <w:t xml:space="preserve">K[近年叫牌AI：SL+RL自我對弈+搜尋/信念網]</w:t>
      </w:r>
    </w:p>
    <w:p>
      <w:pPr>
        <w:pStyle w:val="FirstParagraph"/>
      </w:pPr>
      <w:hyperlink r:id="rId23">
        <w:r>
          <w:rPr>
            <w:rStyle w:val="Hyperlink"/>
          </w:rPr>
          <w:t xml:space="preserve">[22]</w:t>
        </w:r>
      </w:hyperlink>
    </w:p>
    <w:bookmarkEnd w:id="38"/>
    <w:bookmarkStart w:id="42" w:name="近五年研究比較"/>
    <w:p>
      <w:pPr>
        <w:pStyle w:val="Heading2"/>
      </w:pPr>
      <w:r>
        <w:rPr>
          <w:rFonts w:hint="eastAsia"/>
        </w:rPr>
        <w:t xml:space="preserve">近五年研究比較</w:t>
      </w:r>
    </w:p>
    <w:p>
      <w:pPr>
        <w:pStyle w:val="FirstParagraph"/>
      </w:pPr>
      <w:r>
        <w:rPr>
          <w:rFonts w:hint="eastAsia"/>
        </w:rPr>
        <w:t xml:space="preserve">近五年的主流叫牌</w:t>
      </w:r>
      <w:r>
        <w:t xml:space="preserve"> AI </w:t>
      </w:r>
      <w:r>
        <w:rPr>
          <w:rFonts w:hint="eastAsia"/>
        </w:rPr>
        <w:t xml:space="preserve">研究，與</w:t>
      </w:r>
      <w:r>
        <w:t xml:space="preserve"> BCC </w:t>
      </w:r>
      <w:r>
        <w:rPr>
          <w:rFonts w:hint="eastAsia"/>
        </w:rPr>
        <w:t xml:space="preserve">的關聯點主要在兩個層次：一是工程上已實作出「叫牌序列→推斷他家手牌分佈/約束→做決策」的管線；二是評測指標與資料來源逐漸標準化（OpenSpiel/</w:t>
      </w:r>
      <w:r>
        <w:t xml:space="preserve"> WBridge5 / </w:t>
      </w:r>
      <w:r>
        <w:rPr>
          <w:rFonts w:hint="eastAsia"/>
        </w:rPr>
        <w:t xml:space="preserve">DDS），使「形式化語義能否帶來更好的可解釋性與可驗證性」成為可檢驗問題。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下表彙整與</w:t>
      </w:r>
      <w:r>
        <w:t xml:space="preserve"> BCC </w:t>
      </w:r>
      <w:r>
        <w:rPr>
          <w:rFonts w:hint="eastAsia"/>
        </w:rPr>
        <w:t xml:space="preserve">最相關的代表性工作（以</w:t>
      </w:r>
      <w:r>
        <w:t xml:space="preserve"> 2021–2025 </w:t>
      </w:r>
      <w:r>
        <w:rPr>
          <w:rFonts w:hint="eastAsia"/>
        </w:rPr>
        <w:t xml:space="preserve">為主；另少量較早工作僅作背景）：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研究/系統（年份）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方法特徵（與</w:t>
            </w:r>
            <w:r>
              <w:t xml:space="preserve"> BCC </w:t>
            </w:r>
            <w:r>
              <w:rPr>
                <w:rFonts w:hint="eastAsia"/>
              </w:rPr>
              <w:t xml:space="preserve">對應）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樣本/資料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主要發現（結果）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主要限制（與</w:t>
            </w:r>
            <w:r>
              <w:t xml:space="preserve"> BCC </w:t>
            </w:r>
            <w:r>
              <w:rPr>
                <w:rFonts w:hint="eastAsia"/>
              </w:rPr>
              <w:t xml:space="preserve">的缺口）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Qiu </w:t>
            </w:r>
            <w:r>
              <w:rPr>
                <w:rFonts w:hint="eastAsia"/>
              </w:rPr>
              <w:t xml:space="preserve">等（2024，IEEE/CAA</w:t>
            </w:r>
            <w:r>
              <w:t xml:space="preserve"> </w:t>
            </w:r>
            <w:r>
              <w:rPr>
                <w:rFonts w:hint="eastAsia"/>
              </w:rPr>
              <w:t xml:space="preserve">JAS）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監督式學習初始化＋自我對弈強化學習；</w:t>
            </w:r>
            <w:r>
              <w:rPr>
                <w:rFonts w:hint="eastAsia"/>
                <w:b/>
                <w:bCs/>
              </w:rPr>
              <w:t xml:space="preserve">測試時搜尋結合信念網路</w:t>
            </w:r>
            <w:r>
              <w:rPr>
                <w:rFonts w:hint="eastAsia"/>
              </w:rPr>
              <w:t xml:space="preserve">（明確把「信念」作為決策組件）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WBridge5 </w:t>
            </w:r>
            <w:r>
              <w:rPr>
                <w:rFonts w:hint="eastAsia"/>
              </w:rPr>
              <w:t xml:space="preserve">資料做</w:t>
            </w:r>
            <w:r>
              <w:t xml:space="preserve"> </w:t>
            </w:r>
            <w:r>
              <w:rPr>
                <w:rFonts w:hint="eastAsia"/>
              </w:rPr>
              <w:t xml:space="preserve">SL；以對戰</w:t>
            </w:r>
            <w:r>
              <w:t xml:space="preserve"> 10,000 </w:t>
            </w:r>
            <w:r>
              <w:rPr>
                <w:rFonts w:hint="eastAsia"/>
              </w:rPr>
              <w:t xml:space="preserve">牌局評測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對戰</w:t>
            </w:r>
            <w:r>
              <w:t xml:space="preserve"> WBridge5 </w:t>
            </w:r>
            <w:r>
              <w:rPr>
                <w:rFonts w:hint="eastAsia"/>
              </w:rPr>
              <w:t xml:space="preserve">平均</w:t>
            </w:r>
            <w:r>
              <w:t xml:space="preserve"> +0.98 </w:t>
            </w:r>
            <w:r>
              <w:rPr>
                <w:rFonts w:hint="eastAsia"/>
              </w:rPr>
              <w:t xml:space="preserve">IMP/副牌，並宣稱高於既有</w:t>
            </w:r>
            <w:r>
              <w:t xml:space="preserve"> </w:t>
            </w:r>
            <w:r>
              <w:rPr>
                <w:rFonts w:hint="eastAsia"/>
              </w:rPr>
              <w:t xml:space="preserve">SOTA（+0.85</w:t>
            </w:r>
            <w:r>
              <w:t xml:space="preserve"> </w:t>
            </w:r>
            <w:r>
              <w:rPr>
                <w:rFonts w:hint="eastAsia"/>
              </w:rPr>
              <w:t xml:space="preserve">IMP/副牌）</w:t>
            </w:r>
            <w:hyperlink r:id="rId25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模型仍偏「黑盒」：信念網路的可驗證語義與合規揭露未明；指標集中在</w:t>
            </w:r>
            <w:r>
              <w:t xml:space="preserve"> </w:t>
            </w:r>
            <w:r>
              <w:rPr>
                <w:rFonts w:hint="eastAsia"/>
              </w:rPr>
              <w:t xml:space="preserve">IMP，較難直接解釋每一步叫品語義正確性</w:t>
            </w:r>
            <w:hyperlink r:id="rId25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Kita </w:t>
            </w:r>
            <w:r>
              <w:rPr>
                <w:rFonts w:hint="eastAsia"/>
              </w:rPr>
              <w:t xml:space="preserve">等（2024，arXiv/IEEE</w:t>
            </w:r>
            <w:r>
              <w:t xml:space="preserve"> </w:t>
            </w:r>
            <w:r>
              <w:rPr>
                <w:rFonts w:hint="eastAsia"/>
              </w:rPr>
              <w:t xml:space="preserve">標頭）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SL＋PPO＋Fictitious</w:t>
            </w:r>
            <w:r>
              <w:rPr>
                <w:b/>
                <w:bCs/>
              </w:rPr>
              <w:t xml:space="preserve"> Self-Play</w:t>
            </w:r>
            <w:r>
              <w:t xml:space="preserve"> </w:t>
            </w:r>
            <w:r>
              <w:rPr>
                <w:rFonts w:hint="eastAsia"/>
              </w:rPr>
              <w:t xml:space="preserve">的可重現配方；用</w:t>
            </w:r>
            <w:r>
              <w:t xml:space="preserve"> DDS </w:t>
            </w:r>
            <w:r>
              <w:rPr>
                <w:rFonts w:hint="eastAsia"/>
              </w:rPr>
              <w:t xml:space="preserve">作報酬近似，並針對基準的評測效率提出批判與替代</w:t>
            </w:r>
          </w:p>
        </w:tc>
        <w:tc>
          <w:tcPr/>
          <w:p>
            <w:pPr>
              <w:pStyle w:val="Compact"/>
            </w:pPr>
            <w:r>
              <w:t xml:space="preserve">OpenSpiel </w:t>
            </w:r>
            <w:r>
              <w:rPr>
                <w:rFonts w:hint="eastAsia"/>
              </w:rPr>
              <w:t xml:space="preserve">的</w:t>
            </w:r>
            <w:r>
              <w:t xml:space="preserve"> bridge </w:t>
            </w:r>
            <w:r>
              <w:rPr>
                <w:rFonts w:hint="eastAsia"/>
              </w:rPr>
              <w:t xml:space="preserve">資料集（由</w:t>
            </w:r>
            <w:r>
              <w:t xml:space="preserve"> WBridge5 </w:t>
            </w:r>
            <w:r>
              <w:rPr>
                <w:rFonts w:hint="eastAsia"/>
              </w:rPr>
              <w:t xml:space="preserve">生成，採</w:t>
            </w:r>
            <w:r>
              <w:t xml:space="preserve"> SAYC </w:t>
            </w:r>
            <w:r>
              <w:rPr>
                <w:rFonts w:hint="eastAsia"/>
              </w:rPr>
              <w:t xml:space="preserve">系統）＋12.5M</w:t>
            </w:r>
            <w:r>
              <w:t xml:space="preserve"> DDS </w:t>
            </w:r>
            <w:r>
              <w:rPr>
                <w:rFonts w:hint="eastAsia"/>
              </w:rPr>
              <w:t xml:space="preserve">預計算盤例</w:t>
            </w:r>
            <w:hyperlink r:id="rId3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以相對「簡單組合」達到/超越既有橋牌叫牌</w:t>
            </w:r>
            <w:r>
              <w:t xml:space="preserve"> </w:t>
            </w:r>
            <w:r>
              <w:rPr>
                <w:rFonts w:hint="eastAsia"/>
              </w:rPr>
              <w:t xml:space="preserve">SOTA，並開源程式碼與模型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DDS </w:t>
            </w:r>
            <w:r>
              <w:rPr>
                <w:rFonts w:hint="eastAsia"/>
              </w:rPr>
              <w:t xml:space="preserve">近似真實打牌結果帶來「完美資訊」偏差；SL</w:t>
            </w:r>
            <w:r>
              <w:t xml:space="preserve"> </w:t>
            </w:r>
            <w:r>
              <w:rPr>
                <w:rFonts w:hint="eastAsia"/>
              </w:rPr>
              <w:t xml:space="preserve">資料之叫牌制度（SAYC）與</w:t>
            </w:r>
            <w:r>
              <w:t xml:space="preserve"> WBridge5 </w:t>
            </w:r>
            <w:r>
              <w:rPr>
                <w:rFonts w:hint="eastAsia"/>
              </w:rPr>
              <w:t xml:space="preserve">原生制度不同，語義對齊仍是難點</w:t>
            </w:r>
            <w:hyperlink r:id="rId37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Zhang </w:t>
            </w:r>
            <w:r>
              <w:rPr>
                <w:rFonts w:hint="eastAsia"/>
              </w:rPr>
              <w:t xml:space="preserve">等（2025，LeadGenius）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把叫牌序列轉為</w:t>
            </w:r>
            <w:r>
              <w:rPr>
                <w:rFonts w:hint="eastAsia"/>
                <w:b/>
                <w:bCs/>
              </w:rPr>
              <w:t xml:space="preserve">手牌機率分佈＋約束擷取</w:t>
            </w:r>
            <w:r>
              <w:rPr>
                <w:rFonts w:hint="eastAsia"/>
              </w:rPr>
              <w:t xml:space="preserve">，再用抽樣/搜尋（PIMC）做決策（雖針對首攻，但展示「叫牌作資訊抽取」的效果）</w:t>
            </w:r>
          </w:p>
        </w:tc>
        <w:tc>
          <w:tcPr/>
          <w:p>
            <w:pPr>
              <w:pStyle w:val="Compact"/>
            </w:pPr>
            <w:r>
              <w:t xml:space="preserve">OpenSpiel </w:t>
            </w:r>
            <w:r>
              <w:rPr>
                <w:rFonts w:hint="eastAsia"/>
              </w:rPr>
              <w:t xml:space="preserve">測試集抽樣</w:t>
            </w:r>
            <w:r>
              <w:t xml:space="preserve"> 1,000 </w:t>
            </w:r>
            <w:r>
              <w:rPr>
                <w:rFonts w:hint="eastAsia"/>
              </w:rPr>
              <w:t xml:space="preserve">副牌；另描述硬體環境與雙執行緒設定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宣稱首攻表現超越</w:t>
            </w:r>
            <w:r>
              <w:t xml:space="preserve"> WBridge5 </w:t>
            </w:r>
            <w:r>
              <w:rPr>
                <w:rFonts w:hint="eastAsia"/>
              </w:rPr>
              <w:t xml:space="preserve">並達到/超過比賽等級基準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依賴特定叫牌制度規則來擷取約束；對「叫品語義」仍以工程規則為主，缺乏可證明的一致性規格</w:t>
            </w:r>
            <w:hyperlink r:id="rId2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Sztyber-Betleya </w:t>
            </w:r>
            <w:r>
              <w:rPr>
                <w:rFonts w:hint="eastAsia"/>
              </w:rPr>
              <w:t xml:space="preserve">等（2023，BridgeHand2Vec）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用神經網路學得「手牌向量表徵」，以</w:t>
            </w:r>
            <w:r>
              <w:t xml:space="preserve"> DDS </w:t>
            </w:r>
            <w:r>
              <w:rPr>
                <w:rFonts w:hint="eastAsia"/>
              </w:rPr>
              <w:t xml:space="preserve">產生的墩數估計作學習目標；提出可用於「揭露約定/抽樣代表性牌例」等工具化想像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DDS </w:t>
            </w:r>
            <w:r>
              <w:rPr>
                <w:rFonts w:hint="eastAsia"/>
              </w:rPr>
              <w:t xml:space="preserve">作監督訊號；聚焦表徵學習與應用示例</w:t>
            </w:r>
            <w:hyperlink r:id="rId39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強調可解釋的手牌距離、樣本效率提升；並指出橋手有義務向對手揭露制度安排，純</w:t>
            </w:r>
            <w:r>
              <w:t xml:space="preserve"> RL </w:t>
            </w:r>
            <w:r>
              <w:rPr>
                <w:rFonts w:hint="eastAsia"/>
              </w:rPr>
              <w:t xml:space="preserve">自創制度會帶來揭露困難</w:t>
            </w:r>
            <w:hyperlink r:id="rId39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DDS </w:t>
            </w:r>
            <w:r>
              <w:rPr>
                <w:rFonts w:hint="eastAsia"/>
              </w:rPr>
              <w:t xml:space="preserve">的完美資訊假設與真實對局有落差；「揭露」仍停留在想像層，未給出可機器檢查的語義框架</w:t>
            </w:r>
            <w:hyperlink r:id="rId39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Zhang </w:t>
            </w:r>
            <w:r>
              <w:rPr>
                <w:rFonts w:hint="eastAsia"/>
              </w:rPr>
              <w:t xml:space="preserve">等（2022，Sensors）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深度網路叫牌模型＋</w:t>
            </w:r>
            <w:r>
              <w:rPr>
                <w:rFonts w:hint="eastAsia"/>
                <w:b/>
                <w:bCs/>
              </w:rPr>
              <w:t xml:space="preserve">互動式視覺化</w:t>
            </w:r>
            <w:r>
              <w:rPr>
                <w:rFonts w:hint="eastAsia"/>
              </w:rPr>
              <w:t xml:space="preserve">，以「可解釋/可互動」作為系統目標之一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以人類叫牌系統為基礎預測/解釋；提供系統框架描述</w:t>
            </w:r>
            <w:hyperlink r:id="rId40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宣稱在多數比較中優於既有系統，並提出視覺化輔助理解</w:t>
            </w:r>
            <w:hyperlink r:id="rId40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「解釋」多偏展示層（visualization）；欠缺可驗證語義來保證解釋忠實度（faithfulness）</w:t>
            </w:r>
            <w:hyperlink r:id="rId40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Zhang </w:t>
            </w:r>
            <w:r>
              <w:rPr>
                <w:rFonts w:hint="eastAsia"/>
              </w:rPr>
              <w:t xml:space="preserve">等（2022，Mathematics）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以「雙網路：候選叫品產生＋局面評估」；並把叫牌序列轉成</w:t>
            </w:r>
            <w:r>
              <w:t xml:space="preserve"> 30 </w:t>
            </w:r>
            <w:r>
              <w:rPr>
                <w:rFonts w:hint="eastAsia"/>
              </w:rPr>
              <w:t xml:space="preserve">個「跨制度一般特徵」，宣稱支持多制度對抗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描述以</w:t>
            </w:r>
            <w:r>
              <w:t xml:space="preserve"> 2.5M </w:t>
            </w:r>
            <w:r>
              <w:rPr>
                <w:rFonts w:hint="eastAsia"/>
              </w:rPr>
              <w:t xml:space="preserve">叫牌實例與專家輸入挑選特徵；並提到可在不同制度下解讀同一序列</w:t>
            </w:r>
            <w:hyperlink r:id="rId2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主張首次解決多制度對抗叫牌；把制度差異以特徵抽取邏輯吸收</w:t>
            </w:r>
            <w:hyperlink r:id="rId2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大量依賴專家規則/特徵工程；「一般特徵」是否完整保留語義、以及其一致性/衝突檢查仍缺乏形式保證</w:t>
            </w:r>
            <w:hyperlink r:id="rId24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Wang </w:t>
            </w:r>
            <w:r>
              <w:rPr>
                <w:rFonts w:hint="eastAsia"/>
              </w:rPr>
              <w:t xml:space="preserve">等（2024，Neural</w:t>
            </w:r>
            <w:r>
              <w:t xml:space="preserve"> Computing &amp; </w:t>
            </w:r>
            <w:r>
              <w:rPr>
                <w:rFonts w:hint="eastAsia"/>
              </w:rPr>
              <w:t xml:space="preserve">Applications，收錄頁）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以生成對抗推斷（GAI）提升同伴資訊推斷可靠性，並做交替推斷-決策</w:t>
            </w:r>
            <w:r>
              <w:t xml:space="preserve"> </w:t>
            </w:r>
            <w:r>
              <w:rPr>
                <w:rFonts w:hint="eastAsia"/>
              </w:rPr>
              <w:t xml:space="preserve">RL（AID-RL）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以論文摘要/索引頁資訊可得；細節受限於平台存取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研究焦點落在「推斷品質＋決策聯訓」</w:t>
            </w:r>
            <w:hyperlink r:id="rId41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可重現細節不易取得；同樣面臨語義揭露與合規框架未形式化的共通問題</w:t>
            </w:r>
            <w:hyperlink r:id="rId41">
              <w:r>
                <w:rPr>
                  <w:rStyle w:val="Hyperlink"/>
                </w:rPr>
                <w:t xml:space="preserve">[39]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整體一致性與矛盾點可概括為三組張力：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顯式信念建模</w:t>
      </w:r>
      <w:r>
        <w:rPr>
          <w:b/>
          <w:bCs/>
        </w:rPr>
        <w:t xml:space="preserve"> vs. </w:t>
      </w:r>
      <w:r>
        <w:rPr>
          <w:rFonts w:hint="eastAsia"/>
          <w:b/>
          <w:bCs/>
        </w:rPr>
        <w:t xml:space="preserve">端到端自我對弈</w:t>
      </w:r>
      <w:r>
        <w:rPr>
          <w:rFonts w:hint="eastAsia"/>
        </w:rPr>
        <w:t xml:space="preserve">。一方面，將信念網路納入（如</w:t>
      </w:r>
      <w:r>
        <w:t xml:space="preserve"> 2024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DRL＋belief</w:t>
      </w:r>
      <w:r>
        <w:t xml:space="preserve"> </w:t>
      </w:r>
      <w:r>
        <w:rPr>
          <w:rFonts w:hint="eastAsia"/>
        </w:rPr>
        <w:t xml:space="preserve">search）可直接對應「叫牌→後驗」的理論描述；另一方面，基於自我對弈的端到端學習常主張不必顯式建模信念也能變強，導致「可解釋性/可揭露性」與「性能」之間的權衡成為核心議題。</w:t>
      </w:r>
      <w:hyperlink r:id="rId25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制度依存的語義</w:t>
      </w:r>
      <w:r>
        <w:rPr>
          <w:b/>
          <w:bCs/>
        </w:rPr>
        <w:t xml:space="preserve"> vs. </w:t>
      </w:r>
      <w:r>
        <w:rPr>
          <w:rFonts w:hint="eastAsia"/>
          <w:b/>
          <w:bCs/>
        </w:rPr>
        <w:t xml:space="preserve">跨制度的一般化</w:t>
      </w:r>
      <w:r>
        <w:t xml:space="preserve">。SAYC </w:t>
      </w:r>
      <w:r>
        <w:rPr>
          <w:rFonts w:hint="eastAsia"/>
        </w:rPr>
        <w:t xml:space="preserve">等公開制度（由</w:t>
      </w:r>
      <w:r>
        <w:t xml:space="preserve"> ACBL </w:t>
      </w:r>
      <w:r>
        <w:rPr>
          <w:rFonts w:hint="eastAsia"/>
        </w:rPr>
        <w:t xml:space="preserve">提供手冊）有清楚的語義文本，可作為</w:t>
      </w:r>
      <w:r>
        <w:t xml:space="preserve"> DSL </w:t>
      </w:r>
      <w:r>
        <w:rPr>
          <w:rFonts w:hint="eastAsia"/>
        </w:rPr>
        <w:t xml:space="preserve">目標語義；但競賽/實務中存在多制度共存與對手干擾，迫使模型要嘛學「制度條件式語義」，要嘛用特徵工程把制度差異吸收。BCC</w:t>
      </w:r>
      <w:r>
        <w:t xml:space="preserve"> </w:t>
      </w:r>
      <w:r>
        <w:rPr>
          <w:rFonts w:hint="eastAsia"/>
        </w:rPr>
        <w:t xml:space="preserve">的潛在價值在於：提供一個把「制度＝語義規格」內生化的表示，使跨制度推論不再只靠黑盒擬合或人工特徵。</w:t>
      </w:r>
      <w:hyperlink r:id="rId21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DDS </w:t>
      </w:r>
      <w:r>
        <w:rPr>
          <w:rFonts w:hint="eastAsia"/>
          <w:b/>
          <w:bCs/>
        </w:rPr>
        <w:t xml:space="preserve">近似報酬的效率</w:t>
      </w:r>
      <w:r>
        <w:rPr>
          <w:b/>
          <w:bCs/>
        </w:rPr>
        <w:t xml:space="preserve"> vs. </w:t>
      </w:r>
      <w:r>
        <w:rPr>
          <w:rFonts w:hint="eastAsia"/>
          <w:b/>
          <w:bCs/>
        </w:rPr>
        <w:t xml:space="preserve">完美資訊偏誤</w:t>
      </w:r>
      <w:r>
        <w:rPr>
          <w:rFonts w:hint="eastAsia"/>
        </w:rPr>
        <w:t xml:space="preserve">。大量工作用</w:t>
      </w:r>
      <w:r>
        <w:t xml:space="preserve"> </w:t>
      </w:r>
      <w:r>
        <w:rPr>
          <w:rFonts w:hint="eastAsia"/>
        </w:rPr>
        <w:t xml:space="preserve">DDS（雙明手求解器）把「叫牌好壞」轉成可計算的報酬，以提升訓練效率；但</w:t>
      </w:r>
      <w:r>
        <w:t xml:space="preserve"> DDS </w:t>
      </w:r>
      <w:r>
        <w:rPr>
          <w:rFonts w:hint="eastAsia"/>
        </w:rPr>
        <w:t xml:space="preserve">本質上假設全牌可見且最佳打法，與真實不完全資訊打牌存在系統性落差。若</w:t>
      </w:r>
      <w:r>
        <w:t xml:space="preserve"> BCC </w:t>
      </w:r>
      <w:r>
        <w:rPr>
          <w:rFonts w:hint="eastAsia"/>
        </w:rPr>
        <w:t xml:space="preserve">要成為長期基礎設施，需能明確區分「語義推論（叫牌階段）」與「打法近似（報酬生成器）」的偏誤來源。</w:t>
      </w:r>
      <w:hyperlink r:id="rId37">
        <w:r>
          <w:rPr>
            <w:rStyle w:val="Hyperlink"/>
          </w:rPr>
          <w:t xml:space="preserve">[42]</w:t>
        </w:r>
      </w:hyperlink>
    </w:p>
    <w:bookmarkEnd w:id="42"/>
    <w:bookmarkStart w:id="43" w:name="方法論與證據強度評估"/>
    <w:p>
      <w:pPr>
        <w:pStyle w:val="Heading2"/>
      </w:pPr>
      <w:r>
        <w:rPr>
          <w:rFonts w:hint="eastAsia"/>
        </w:rPr>
        <w:t xml:space="preserve">方法論與證據強度評估</w:t>
      </w:r>
    </w:p>
    <w:p>
      <w:pPr>
        <w:pStyle w:val="FirstParagraph"/>
      </w:pPr>
      <w:r>
        <w:rPr>
          <w:rFonts w:hint="eastAsia"/>
        </w:rPr>
        <w:t xml:space="preserve">以研究設計角度看，原文屬於「概念性框架＋研究議程」，其方法論強項是提出一個可把多個成熟理論模組化銜接的架構：用程序代數描述互動序列，用信念更新描述推論狀態轉移，用互資訊衡量訊息效率，並把</w:t>
      </w:r>
      <w:r>
        <w:t xml:space="preserve"> </w:t>
      </w:r>
      <w:r>
        <w:rPr>
          <w:rFonts w:hint="eastAsia"/>
        </w:rPr>
        <w:t xml:space="preserve">DSL/推理器作為落地路徑。但就「證據強度」而言，目前缺乏三類關鍵構件，使其尚不足以被視為可檢驗的「方法」：</w:t>
      </w:r>
    </w:p>
    <w:p>
      <w:pPr>
        <w:pStyle w:val="BodyText"/>
      </w:pPr>
      <w:r>
        <w:rPr>
          <w:rFonts w:hint="eastAsia"/>
        </w:rPr>
        <w:t xml:space="preserve">其一，缺少可機器檢查的</w:t>
      </w:r>
      <w:r>
        <w:rPr>
          <w:rFonts w:hint="eastAsia"/>
          <w:b/>
          <w:bCs/>
        </w:rPr>
        <w:t xml:space="preserve">形式定義</w:t>
      </w:r>
      <w:r>
        <w:rPr>
          <w:rFonts w:hint="eastAsia"/>
        </w:rPr>
        <w:t xml:space="preserve">。文本描述了想要的元件（手牌型別、叫品、信念狀態、更新規則），但未給出完整語法、型別系統、操作語義（例如以標號轉移系統</w:t>
      </w:r>
      <w:r>
        <w:t xml:space="preserve"> LTS </w:t>
      </w:r>
      <w:r>
        <w:rPr>
          <w:rFonts w:hint="eastAsia"/>
        </w:rPr>
        <w:t xml:space="preserve">定義每一步</w:t>
      </w:r>
      <w:r>
        <w:t xml:space="preserve"> call </w:t>
      </w:r>
      <w:r>
        <w:rPr>
          <w:rFonts w:hint="eastAsia"/>
        </w:rPr>
        <w:t xml:space="preserve">的效應）、以及等價/精化（refinement）關係，因此也無法談「驗證」或「模型檢查」的可操作範圍。相較之下，程序代數傳統的價值正是在於把系統行為落到</w:t>
      </w:r>
      <w:r>
        <w:t xml:space="preserve"> LTS </w:t>
      </w:r>
      <w:r>
        <w:rPr>
          <w:rFonts w:hint="eastAsia"/>
        </w:rPr>
        <w:t xml:space="preserve">與行為等價上。</w:t>
      </w:r>
      <w:hyperlink r:id="rId31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其二，缺少面向橋牌實務的</w:t>
      </w:r>
      <w:r>
        <w:rPr>
          <w:rFonts w:hint="eastAsia"/>
          <w:b/>
          <w:bCs/>
        </w:rPr>
        <w:t xml:space="preserve">合規約束內生化</w:t>
      </w:r>
      <w:r>
        <w:rPr>
          <w:rFonts w:hint="eastAsia"/>
        </w:rPr>
        <w:t xml:space="preserve">。橋牌規則把</w:t>
      </w:r>
      <w:r>
        <w:t xml:space="preserve"> </w:t>
      </w:r>
      <w:r>
        <w:rPr>
          <w:rFonts w:hint="eastAsia"/>
        </w:rPr>
        <w:t xml:space="preserve">UI、alert、揭露義務、以及「叫品含義屬於搭檔約定」等規範寫得非常具體；若</w:t>
      </w:r>
      <w:r>
        <w:t xml:space="preserve"> BCC </w:t>
      </w:r>
      <w:r>
        <w:rPr>
          <w:rFonts w:hint="eastAsia"/>
        </w:rPr>
        <w:t xml:space="preserve">想把叫牌當成「通信協議」，至少要能表達（a）合法資訊來源，（b）制度語義的公開文本，（c）人為叫品/誤叫與其裁判語義，（d）對手干擾下的語義分歧。</w:t>
      </w:r>
      <w:hyperlink r:id="rId23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原文目前只在概念層提到「信號」與「推論」，尚未把「法律語義」與「推論語義」對齊。</w:t>
      </w:r>
    </w:p>
    <w:p>
      <w:pPr>
        <w:pStyle w:val="BodyText"/>
      </w:pPr>
      <w:r>
        <w:rPr>
          <w:rFonts w:hint="eastAsia"/>
        </w:rPr>
        <w:t xml:space="preserve">其三，缺少可重現的</w:t>
      </w:r>
      <w:r>
        <w:rPr>
          <w:rFonts w:hint="eastAsia"/>
          <w:b/>
          <w:bCs/>
        </w:rPr>
        <w:t xml:space="preserve">實證評估</w:t>
      </w:r>
      <w:r>
        <w:rPr>
          <w:rFonts w:hint="eastAsia"/>
        </w:rPr>
        <w:t xml:space="preserve">。近年叫牌</w:t>
      </w:r>
      <w:r>
        <w:t xml:space="preserve"> AI </w:t>
      </w:r>
      <w:r>
        <w:rPr>
          <w:rFonts w:hint="eastAsia"/>
        </w:rPr>
        <w:t xml:space="preserve">已形成可對話的共同語言（OpenSpiel</w:t>
      </w:r>
      <w:r>
        <w:t xml:space="preserve"> </w:t>
      </w:r>
      <w:r>
        <w:rPr>
          <w:rFonts w:hint="eastAsia"/>
        </w:rPr>
        <w:t xml:space="preserve">資料集、WBridge5、IMP/副牌等）並逐步走向開源可重現；若</w:t>
      </w:r>
      <w:r>
        <w:t xml:space="preserve"> BCC </w:t>
      </w:r>
      <w:r>
        <w:rPr>
          <w:rFonts w:hint="eastAsia"/>
        </w:rPr>
        <w:t xml:space="preserve">要證明其價值，至少應提出：在何種任務上（例如制度一致性檢查、產生可揭露的語義摘要、偵測制度矛盾、或提升人機協作）相對於純神經模型能帶來可量化改善。</w:t>
      </w:r>
      <w:hyperlink r:id="rId37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</w:rPr>
        <w:t xml:space="preserve">在偏誤、假設與未檢驗變項方面，可點出幾個「一旦落地就會出現」的風險來源：</w:t>
      </w:r>
    </w:p>
    <w:p>
      <w:pPr>
        <w:pStyle w:val="BodyText"/>
      </w:pPr>
      <w:r>
        <w:rPr>
          <w:rFonts w:hint="eastAsia"/>
        </w:rPr>
        <w:t xml:space="preserve">原文隱含假設「叫品能被建模為明確的信號」，但在競賽規則中，叫品的含義由搭檔約定決定且必須揭露給對手；同時，誤叫/忘記約定在實務上存在，且裁判語義區分「約定」與「實際手牌」並不一致。這使得「信號語義」至少要區分三層：制度語義（公開）、玩家意圖（可能偏離）、以及觀察者的推論（受</w:t>
      </w:r>
      <w:r>
        <w:t xml:space="preserve"> UI/tempo </w:t>
      </w:r>
      <w:r>
        <w:rPr>
          <w:rFonts w:hint="eastAsia"/>
        </w:rPr>
        <w:t xml:space="preserve">等限制）。</w:t>
      </w:r>
      <w:hyperlink r:id="rId35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此外，若用互資訊評估「資訊效率」，也必須明確指定隨機變數與條件化歷史（history）的選擇，否則互資訊大小可能被「資料生成方式」（例如資料是由</w:t>
      </w:r>
      <w:r>
        <w:t xml:space="preserve"> SAYC </w:t>
      </w:r>
      <w:r>
        <w:rPr>
          <w:rFonts w:hint="eastAsia"/>
        </w:rPr>
        <w:t xml:space="preserve">生成或由某一程式生成）主導，而非反映制度本身。近年研究已顯示：資料集的制度來源（SAYC</w:t>
      </w:r>
      <w:r>
        <w:t xml:space="preserve"> vs WBridge5 </w:t>
      </w:r>
      <w:r>
        <w:rPr>
          <w:rFonts w:hint="eastAsia"/>
        </w:rPr>
        <w:t xml:space="preserve">原生）會直接影響訓練與評測的語義對齊。</w:t>
      </w:r>
      <w:hyperlink r:id="rId37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最後，若要用「推理器」判定某一步叫牌是否最佳，必須先釐清效用函數：是以</w:t>
      </w:r>
      <w:r>
        <w:t xml:space="preserve"> DDS </w:t>
      </w:r>
      <w:r>
        <w:rPr>
          <w:rFonts w:hint="eastAsia"/>
        </w:rPr>
        <w:t xml:space="preserve">近似的最終分數、以</w:t>
      </w:r>
      <w:r>
        <w:t xml:space="preserve"> </w:t>
      </w:r>
      <w:r>
        <w:rPr>
          <w:rFonts w:hint="eastAsia"/>
        </w:rPr>
        <w:t xml:space="preserve">IMP、還是以「到達可打合約」的機率？不同選擇會對應到不同的「制度設計目標」，也會影響是否鼓勵競叫干擾。這在叫牌</w:t>
      </w:r>
      <w:r>
        <w:t xml:space="preserve"> AI </w:t>
      </w:r>
      <w:r>
        <w:rPr>
          <w:rFonts w:hint="eastAsia"/>
        </w:rPr>
        <w:t xml:space="preserve">文獻中通常透過評測協議解決，而</w:t>
      </w:r>
      <w:r>
        <w:t xml:space="preserve"> BCC </w:t>
      </w:r>
      <w:r>
        <w:rPr>
          <w:rFonts w:hint="eastAsia"/>
        </w:rPr>
        <w:t xml:space="preserve">需要把它形式化。</w:t>
      </w:r>
      <w:hyperlink r:id="rId37">
        <w:r>
          <w:rPr>
            <w:rStyle w:val="Hyperlink"/>
          </w:rPr>
          <w:t xml:space="preserve">[47]</w:t>
        </w:r>
      </w:hyperlink>
    </w:p>
    <w:bookmarkEnd w:id="43"/>
    <w:bookmarkStart w:id="46" w:name="後續研究與實務應用建議"/>
    <w:p>
      <w:pPr>
        <w:pStyle w:val="Heading2"/>
      </w:pPr>
      <w:r>
        <w:rPr>
          <w:rFonts w:hint="eastAsia"/>
        </w:rPr>
        <w:t xml:space="preserve">後續研究與實務應用建議</w:t>
      </w:r>
    </w:p>
    <w:p>
      <w:pPr>
        <w:pStyle w:val="FirstParagraph"/>
      </w:pPr>
      <w:r>
        <w:rPr>
          <w:rFonts w:hint="eastAsia"/>
        </w:rPr>
        <w:t xml:space="preserve">以下建議以「可執行」為標準：每項包含預期成果、所需資源與風險。其共同目標是把概念性的</w:t>
      </w:r>
      <w:r>
        <w:t xml:space="preserve"> BCC </w:t>
      </w:r>
      <w:r>
        <w:rPr>
          <w:rFonts w:hint="eastAsia"/>
        </w:rPr>
        <w:t xml:space="preserve">推進成「可驗證、可評測、合規可用」的框架，並能與近年的叫牌</w:t>
      </w:r>
      <w:r>
        <w:t xml:space="preserve"> AI </w:t>
      </w:r>
      <w:r>
        <w:rPr>
          <w:rFonts w:hint="eastAsia"/>
        </w:rPr>
        <w:t xml:space="preserve">基準對齊。</w:t>
      </w:r>
      <w:hyperlink r:id="rId22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建議一：先做「合規核心（Compliance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Kernel）」——把</w:t>
      </w:r>
      <w:r>
        <w:rPr>
          <w:b/>
          <w:bCs/>
        </w:rPr>
        <w:t xml:space="preserve"> WBF </w:t>
      </w:r>
      <w:r>
        <w:rPr>
          <w:rFonts w:hint="eastAsia"/>
          <w:b/>
          <w:bCs/>
        </w:rPr>
        <w:t xml:space="preserve">規則轉成</w:t>
      </w:r>
      <w:r>
        <w:rPr>
          <w:b/>
          <w:bCs/>
        </w:rPr>
        <w:t xml:space="preserve"> BCC </w:t>
      </w:r>
      <w:r>
        <w:rPr>
          <w:rFonts w:hint="eastAsia"/>
          <w:b/>
          <w:bCs/>
        </w:rPr>
        <w:t xml:space="preserve">的型別系統/約束層</w:t>
      </w:r>
      <w:r>
        <w:br/>
      </w:r>
      <w:r>
        <w:rPr>
          <w:rFonts w:hint="eastAsia"/>
        </w:rPr>
        <w:t xml:space="preserve">預期成果：定義一組最小但可運行的形式規格，至少能判斷：（a）某叫品在拍賣序列下是否「規則上合法」（例如不足叫、加倍/再加倍條件），（b）某資訊來源是否屬</w:t>
      </w:r>
      <w:r>
        <w:t xml:space="preserve"> </w:t>
      </w:r>
      <w:r>
        <w:rPr>
          <w:rFonts w:hint="eastAsia"/>
        </w:rPr>
        <w:t xml:space="preserve">UI，（c）在存在邏輯替代行動時，是否禁止採用</w:t>
      </w:r>
      <w:r>
        <w:t xml:space="preserve"> UI </w:t>
      </w:r>
      <w:r>
        <w:rPr>
          <w:rFonts w:hint="eastAsia"/>
        </w:rPr>
        <w:t xml:space="preserve">暗示行動。這可成為</w:t>
      </w:r>
      <w:r>
        <w:t xml:space="preserve"> DSL </w:t>
      </w:r>
      <w:r>
        <w:rPr>
          <w:rFonts w:hint="eastAsia"/>
        </w:rPr>
        <w:t xml:space="preserve">的</w:t>
      </w:r>
      <w:r>
        <w:t xml:space="preserve"> type </w:t>
      </w:r>
      <w:r>
        <w:rPr>
          <w:rFonts w:hint="eastAsia"/>
        </w:rPr>
        <w:t xml:space="preserve">checker/validator，並把「裁判語義」變成可計算的限制條件。</w:t>
      </w:r>
      <w:hyperlink r:id="rId23">
        <w:r>
          <w:rPr>
            <w:rStyle w:val="Hyperlink"/>
          </w:rPr>
          <w:t xml:space="preserve">[49]</w:t>
        </w:r>
      </w:hyperlink>
      <w:r>
        <w:br/>
      </w:r>
      <w:r>
        <w:rPr>
          <w:rFonts w:hint="eastAsia"/>
        </w:rPr>
        <w:t xml:space="preserve">所需資源：1</w:t>
      </w:r>
      <w:r>
        <w:t xml:space="preserve"> </w:t>
      </w:r>
      <w:r>
        <w:rPr>
          <w:rFonts w:hint="eastAsia"/>
        </w:rPr>
        <w:t xml:space="preserve">位熟悉橋牌裁判規則的專家＋1–2</w:t>
      </w:r>
      <w:r>
        <w:t xml:space="preserve"> </w:t>
      </w:r>
      <w:r>
        <w:rPr>
          <w:rFonts w:hint="eastAsia"/>
        </w:rPr>
        <w:t xml:space="preserve">位形式方法/語言工具工程師；需要可引用的規則文本（WBF</w:t>
      </w:r>
      <w:r>
        <w:t xml:space="preserve"> </w:t>
      </w:r>
      <w:r>
        <w:rPr>
          <w:rFonts w:hint="eastAsia"/>
        </w:rPr>
        <w:t xml:space="preserve">Laws、官方</w:t>
      </w:r>
      <w:r>
        <w:t xml:space="preserve"> </w:t>
      </w:r>
      <w:r>
        <w:rPr>
          <w:rFonts w:hint="eastAsia"/>
        </w:rPr>
        <w:t xml:space="preserve">commentary、各國聯盟補充規定）。</w:t>
      </w:r>
      <w:hyperlink r:id="rId23">
        <w:r>
          <w:rPr>
            <w:rStyle w:val="Hyperlink"/>
          </w:rPr>
          <w:t xml:space="preserve">[50]</w:t>
        </w:r>
      </w:hyperlink>
      <w:r>
        <w:br/>
      </w:r>
      <w:r>
        <w:rPr>
          <w:rFonts w:hint="eastAsia"/>
        </w:rPr>
        <w:t xml:space="preserve">可能風險：規則條文存在解釋空間（裁判裁量、不同賽制細則），若過度硬編碼可能導致「形式規格」與「實務裁判」不一致；需設計可配置的規則層（profile）。</w:t>
      </w:r>
      <w:hyperlink r:id="rId44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建議二：把「叫牌制度＝語義規格」落到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DSL，並提供「可揭露摘要」自動產生器</w:t>
      </w:r>
      <w:r>
        <w:br/>
      </w:r>
      <w:r>
        <w:rPr>
          <w:rFonts w:hint="eastAsia"/>
        </w:rPr>
        <w:t xml:space="preserve">預期成果：建立一個能描述制度、可產生「對手可理解之制度卡/摘要」的</w:t>
      </w:r>
      <w:r>
        <w:t xml:space="preserve"> </w:t>
      </w:r>
      <w:r>
        <w:rPr>
          <w:rFonts w:hint="eastAsia"/>
        </w:rPr>
        <w:t xml:space="preserve">DSL：一方面提供</w:t>
      </w:r>
      <w:r>
        <w:t xml:space="preserve"> </w:t>
      </w:r>
      <w:r>
        <w:rPr>
          <w:rFonts w:hint="eastAsia"/>
        </w:rPr>
        <w:t xml:space="preserve">AI/推理器可用的形式語義，另一方面自動生成符合揭露義務的文本/圖表，緩解純</w:t>
      </w:r>
      <w:r>
        <w:t xml:space="preserve"> RL </w:t>
      </w:r>
      <w:r>
        <w:rPr>
          <w:rFonts w:hint="eastAsia"/>
        </w:rPr>
        <w:t xml:space="preserve">自創制度「難以揭露」的制度性障礙。這與近作指出的「自創制度會遇到揭露問題」直接對應。</w:t>
      </w:r>
      <w:hyperlink r:id="rId39">
        <w:r>
          <w:rPr>
            <w:rStyle w:val="Hyperlink"/>
          </w:rPr>
          <w:t xml:space="preserve">[52]</w:t>
        </w:r>
      </w:hyperlink>
      <w:r>
        <w:br/>
      </w:r>
      <w:r>
        <w:rPr>
          <w:rFonts w:hint="eastAsia"/>
        </w:rPr>
        <w:t xml:space="preserve">所需資源：語言設計者（可以從既有制度文本如</w:t>
      </w:r>
      <w:r>
        <w:t xml:space="preserve"> SAYC </w:t>
      </w:r>
      <w:r>
        <w:rPr>
          <w:rFonts w:hint="eastAsia"/>
        </w:rPr>
        <w:t xml:space="preserve">開始）、前端展示與可視化工程（可參考既有互動視覺化叫牌系統的做法）、以及一組制度測試集（涵蓋常見序列與干擾）。</w:t>
      </w:r>
      <w:hyperlink r:id="rId21">
        <w:r>
          <w:rPr>
            <w:rStyle w:val="Hyperlink"/>
          </w:rPr>
          <w:t xml:space="preserve">[53]</w:t>
        </w:r>
      </w:hyperlink>
      <w:r>
        <w:br/>
      </w:r>
      <w:r>
        <w:rPr>
          <w:rFonts w:hint="eastAsia"/>
        </w:rPr>
        <w:t xml:space="preserve">可能風險：制度語義常包含大量「例外/情境式」條款（尤其競叫），DSL</w:t>
      </w:r>
      <w:r>
        <w:t xml:space="preserve"> </w:t>
      </w:r>
      <w:r>
        <w:rPr>
          <w:rFonts w:hint="eastAsia"/>
        </w:rPr>
        <w:t xml:space="preserve">若過度追求完整可能變得難寫難用；建議從「可覆蓋</w:t>
      </w:r>
      <w:r>
        <w:t xml:space="preserve"> 80% </w:t>
      </w:r>
      <w:r>
        <w:rPr>
          <w:rFonts w:hint="eastAsia"/>
        </w:rPr>
        <w:t xml:space="preserve">常用序列」的核心子集起步，並提供逃生機制（unknown/unspecified）。</w:t>
      </w:r>
      <w:hyperlink r:id="rId21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建議三：建立「資訊效率儀表板」——用互資訊/不確定性下降衡量制度設計與叫牌步驟</w:t>
      </w:r>
      <w:r>
        <w:br/>
      </w:r>
      <w:r>
        <w:rPr>
          <w:rFonts w:hint="eastAsia"/>
        </w:rPr>
        <w:t xml:space="preserve">預期成果：把原文提出的互資訊概念工程化：對每一步叫品，估計同伴手牌分佈的熵下降、或在特定制度下的資訊增益，形成「制度對不同牌型/情境的資訊路由圖」。這可用於（a）教練/學習者檢視制度是否在關鍵分歧點提供足夠資訊，（b）比較兩套制度在相同成本（叫品長度）下的資訊效率，（c）指導</w:t>
      </w:r>
      <w:r>
        <w:t xml:space="preserve"> AI </w:t>
      </w:r>
      <w:r>
        <w:rPr>
          <w:rFonts w:hint="eastAsia"/>
        </w:rPr>
        <w:t xml:space="preserve">訓練時的</w:t>
      </w:r>
      <w:r>
        <w:t xml:space="preserve"> reward shaping。</w:t>
      </w:r>
      <w:hyperlink r:id="rId33">
        <w:r>
          <w:rPr>
            <w:rStyle w:val="Hyperlink"/>
          </w:rPr>
          <w:t xml:space="preserve">[55]</w:t>
        </w:r>
      </w:hyperlink>
      <w:r>
        <w:br/>
      </w:r>
      <w:r>
        <w:rPr>
          <w:rFonts w:hint="eastAsia"/>
        </w:rPr>
        <w:t xml:space="preserve">所需資源：大量盤例資料＋可計算的信念更新器（可用現代叫牌</w:t>
      </w:r>
      <w:r>
        <w:t xml:space="preserve"> AI </w:t>
      </w:r>
      <w:r>
        <w:rPr>
          <w:rFonts w:hint="eastAsia"/>
        </w:rPr>
        <w:t xml:space="preserve">的「手牌機率模型」作近似），以及對應制度的語義解析。</w:t>
      </w:r>
      <w:hyperlink r:id="rId26">
        <w:r>
          <w:rPr>
            <w:rStyle w:val="Hyperlink"/>
          </w:rPr>
          <w:t xml:space="preserve">[56]</w:t>
        </w:r>
      </w:hyperlink>
      <w:r>
        <w:br/>
      </w:r>
      <w:r>
        <w:rPr>
          <w:rFonts w:hint="eastAsia"/>
        </w:rPr>
        <w:t xml:space="preserve">可能風險：互資訊估計高度依賴資料生成分布（例如資料是由某一制度生成）；若未控制分布偏誤，儀表板可能只是在量測「資料集偏好」不是制度本質。需設計跨分布的校準（例如多制度混合、或以合規規則生成合成資料）。</w:t>
      </w:r>
      <w:hyperlink r:id="rId37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建議四：把「叫牌序列→約束擷取」形式化，並與神經信念模型做可解釋對齊（explanation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alignment）</w:t>
      </w:r>
      <w:r>
        <w:br/>
      </w:r>
      <w:r>
        <w:rPr>
          <w:rFonts w:hint="eastAsia"/>
        </w:rPr>
        <w:t xml:space="preserve">預期成果：近作已展示：從叫牌前幾輪擷取對手/同伴手牌約束，再配合機率模型與抽樣/搜尋能提升決策品質。下一步是把這些約束擷取規則用</w:t>
      </w:r>
      <w:r>
        <w:t xml:space="preserve"> </w:t>
      </w:r>
      <w:r>
        <w:rPr>
          <w:rFonts w:hint="eastAsia"/>
        </w:rPr>
        <w:t xml:space="preserve">DSL/演算表示，並要求神經信念模型的輸出與「可證明的約束」一致（例如不產生違反已知約束的高機率樣本）。這可同時提升性能與可解釋性，並使模型更容易向人類說明「我為何推斷你有/沒有某花色」。</w:t>
      </w:r>
      <w:hyperlink r:id="rId26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所需資源：需要一組可檢驗的約束語法（例如以一階邏輯或受限約束語言表達），以及把神經模型輸出做「約束投影/校正」的工程。</w:t>
      </w:r>
      <w:hyperlink r:id="rId45">
        <w:r>
          <w:rPr>
            <w:rStyle w:val="Hyperlink"/>
          </w:rPr>
          <w:t xml:space="preserve">[59]</w:t>
        </w:r>
      </w:hyperlink>
      <w:r>
        <w:br/>
      </w:r>
      <w:r>
        <w:rPr>
          <w:rFonts w:hint="eastAsia"/>
        </w:rPr>
        <w:t xml:space="preserve">可能風險：過強約束可能導致模型在制度誤差（誤叫、心理叫）下失去魯棒性；必須引入「軟約束/置信度」層，並遵守</w:t>
      </w:r>
      <w:r>
        <w:t xml:space="preserve"> UI </w:t>
      </w:r>
      <w:r>
        <w:rPr>
          <w:rFonts w:hint="eastAsia"/>
        </w:rPr>
        <w:t xml:space="preserve">規則避免把不合法訊息納入推論。</w:t>
      </w:r>
      <w:hyperlink r:id="rId23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建議五：建立「制度一致性與衝突檢查」的標準任務與基準，補足現有</w:t>
      </w:r>
      <w:r>
        <w:rPr>
          <w:b/>
          <w:bCs/>
        </w:rPr>
        <w:t xml:space="preserve"> IMP </w:t>
      </w:r>
      <w:r>
        <w:rPr>
          <w:rFonts w:hint="eastAsia"/>
          <w:b/>
          <w:bCs/>
        </w:rPr>
        <w:t xml:space="preserve">導向評測的盲點</w:t>
      </w:r>
      <w:r>
        <w:br/>
      </w:r>
      <w:r>
        <w:rPr>
          <w:rFonts w:hint="eastAsia"/>
        </w:rPr>
        <w:t xml:space="preserve">預期成果：現行主流評測常以對戰</w:t>
      </w:r>
      <w:r>
        <w:t xml:space="preserve"> WBridge5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IMP/副牌作總分指標，但這很難告訴我們「制度是否自洽」、「某序列是否語義衝突」、「是否存在同一序列多解且未揭露」等語義問題。建議建立一組新任務：</w:t>
      </w:r>
      <w:r>
        <w:br/>
      </w:r>
      <w:r>
        <w:rPr>
          <w:rFonts w:hint="eastAsia"/>
        </w:rPr>
        <w:t xml:space="preserve">（a）制度規格靜態分析（找出不可達、矛盾、或未覆蓋分支）；（b）在對手干擾下的語義分歧測試；（c）人類可理解的制度卡/解釋正確性評測。這將直接把</w:t>
      </w:r>
      <w:r>
        <w:t xml:space="preserve"> BCC </w:t>
      </w:r>
      <w:r>
        <w:rPr>
          <w:rFonts w:hint="eastAsia"/>
        </w:rPr>
        <w:t xml:space="preserve">的價值變成可量測指標。</w:t>
      </w:r>
      <w:hyperlink r:id="rId37">
        <w:r>
          <w:rPr>
            <w:rStyle w:val="Hyperlink"/>
          </w:rPr>
          <w:t xml:space="preserve">[61]</w:t>
        </w:r>
      </w:hyperlink>
      <w:r>
        <w:br/>
      </w:r>
      <w:r>
        <w:rPr>
          <w:rFonts w:hint="eastAsia"/>
        </w:rPr>
        <w:t xml:space="preserve">所需資源：需要制度規格資料庫（可先收錄</w:t>
      </w:r>
      <w:r>
        <w:t xml:space="preserve"> SAYC </w:t>
      </w:r>
      <w:r>
        <w:rPr>
          <w:rFonts w:hint="eastAsia"/>
        </w:rPr>
        <w:t xml:space="preserve">作為「公開、文本清楚」的起點）、以及一套測試盤例與標註（至少標註每一步叫品在制度下的語義）。</w:t>
      </w:r>
      <w:hyperlink r:id="rId21">
        <w:r>
          <w:rPr>
            <w:rStyle w:val="Hyperlink"/>
          </w:rPr>
          <w:t xml:space="preserve">[62]</w:t>
        </w:r>
      </w:hyperlink>
      <w:r>
        <w:br/>
      </w:r>
      <w:r>
        <w:rPr>
          <w:rFonts w:hint="eastAsia"/>
        </w:rPr>
        <w:t xml:space="preserve">可能風險：制度語義標註成本高、且不同教練/牌手對某些序列的「默契」不易一致；必須把「約定文本」與「實務慣例」分層記錄，避免把未揭露慣例誤當制度本身。</w:t>
      </w:r>
      <w:hyperlink r:id="rId44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rFonts w:hint="eastAsia"/>
        </w:rPr>
        <w:t xml:space="preserve">補充實務落地方向（與專利/產品證據呼應）：若把</w:t>
      </w:r>
      <w:r>
        <w:t xml:space="preserve"> BCC/DSL </w:t>
      </w:r>
      <w:r>
        <w:rPr>
          <w:rFonts w:hint="eastAsia"/>
        </w:rPr>
        <w:t xml:space="preserve">用於比賽或教學系統，會自然連到「叫牌合法性檢查、避免不足叫/非法加倍、提示更正」等功能；近年的相關專利已顯示市場存在「自動檢查叫品合法性/叫牌資料庫化/叫牌裝置化」的需求。</w:t>
      </w:r>
      <w:hyperlink r:id="rId34">
        <w:r>
          <w:rPr>
            <w:rStyle w:val="Hyperlink"/>
          </w:rPr>
          <w:t xml:space="preserve">[64]</w:t>
        </w:r>
      </w:hyperlink>
    </w:p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https://web2.acbl.org/documentlibrary/play/SP3%20%28bk%29%20single%20pages.pdf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https://web2.acbl.org/documentlibrary/play/SP3%20%28bk%29%20single%20pages.pdf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https://www.cl.cam.ac.uk/techreports/UCAM-CL-TR-299.html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https://www.cl.cam.ac.uk/techreports/UCAM-CL-TR-299.html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https://www.worldbridge.org/wp-content/uploads/2017/03/2017LawsofDuplicateBridge-nohighlights.pdf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https://www.worldbridge.org/wp-content/uploads/2017/03/2017LawsofDuplicateBridge-nohighlights.pdf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hyperlink r:id="rId2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https://www.mdpi.com/2227-7390/10/17/3187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https://www.mdpi.com/2227-7390/10/17/3187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hyperlink r:id="rId2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https://www.ieee-jas.net/article/doi/10.1109/JAS.2024.124488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https://www.ieee-jas.net/article/doi/10.1109/JAS.2024.124488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[29]</w:t>
        </w:r>
      </w:hyperlink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  <w:r>
        <w:t xml:space="preserve"> </w:t>
      </w:r>
      <w:hyperlink r:id="rId2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https://www.sciencedirect.com/science/article/abs/pii/S0020025525009302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https://www.sciencedirect.com/science/article/abs/pii/S0020025525009302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 Step-by-Step Guide to Mastering Limits and Continuity</w:t>
      </w:r>
    </w:p>
    <w:p>
      <w:pPr>
        <w:pStyle w:val="BodyText"/>
      </w:pPr>
      <w:hyperlink r:id="rId28">
        <w:r>
          <w:rPr>
            <w:rStyle w:val="Hyperlink"/>
          </w:rPr>
          <w:t xml:space="preserve">https://blog.studywizardry.com/mastering-limits-and-continuity-calculus/?utm_source=chatgpt.com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https://www.lfcs.inf.ed.ac.uk/reports/86/ECS-LFCS-86-7/ECS-LFCS-86-7.pdf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https://www.lfcs.inf.ed.ac.uk/reports/86/ECS-LFCS-86-7/ECS-LFCS-86-7.pdf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https://www.cis.upenn.edu/~stevez/cis670/pdfs/pi-calculus.pdf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https://www.cis.upenn.edu/~stevez/cis670/pdfs/pi-calculus.pdf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https://econweb.ucsd.edu/~vcrawfor/CrawfordSobel82EMT.pdf</w:t>
      </w:r>
    </w:p>
    <w:p>
      <w:pPr>
        <w:pStyle w:val="BodyText"/>
      </w:pPr>
      <w:hyperlink r:id="rId32">
        <w:r>
          <w:rPr>
            <w:rStyle w:val="Hyperlink"/>
          </w:rPr>
          <w:t xml:space="preserve">https://econweb.ucsd.edu/~vcrawfor/CrawfordSobel82EMT.pdf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https://ia803209.us.archive.org/27/items/bstj27-3-379/bstj27-3-379_text.pdf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https://ia803209.us.archive.org/27/items/bstj27-3-379/bstj27-3-379_text.pdf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https://patents.google.com/patent/DK181435B1/en</w:t>
      </w:r>
    </w:p>
    <w:p>
      <w:pPr>
        <w:pStyle w:val="BodyText"/>
      </w:pPr>
      <w:hyperlink r:id="rId34">
        <w:r>
          <w:rPr>
            <w:rStyle w:val="Hyperlink"/>
          </w:rPr>
          <w:t xml:space="preserve">https://patents.google.com/patent/DK181435B1/en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https://www.worldbridge.org/wp-content/uploads/2019/01/2017LawsCommentary.pdf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https://www.worldbridge.org/wp-content/uploads/2019/01/2017LawsCommentary.pdf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https://ctcba.org.tw/public/downloads/282_1712112615.pdf</w:t>
      </w:r>
    </w:p>
    <w:p>
      <w:pPr>
        <w:pStyle w:val="BodyText"/>
      </w:pPr>
      <w:hyperlink r:id="rId36">
        <w:r>
          <w:rPr>
            <w:rStyle w:val="Hyperlink"/>
          </w:rPr>
          <w:t xml:space="preserve">https://ctcba.org.tw/public/downloads/282_1712112615.pdf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hyperlink r:id="rId37">
        <w:r>
          <w:rPr>
            <w:rStyle w:val="Hyperlink"/>
          </w:rPr>
          <w:t xml:space="preserve">[42]</w:t>
        </w:r>
      </w:hyperlink>
      <w:r>
        <w:t xml:space="preserve"> </w:t>
      </w:r>
      <w:hyperlink r:id="rId37">
        <w:r>
          <w:rPr>
            <w:rStyle w:val="Hyperlink"/>
          </w:rPr>
          <w:t xml:space="preserve">[45]</w:t>
        </w:r>
      </w:hyperlink>
      <w:r>
        <w:t xml:space="preserve"> </w:t>
      </w:r>
      <w:hyperlink r:id="rId37">
        <w:r>
          <w:rPr>
            <w:rStyle w:val="Hyperlink"/>
          </w:rPr>
          <w:t xml:space="preserve">[47]</w:t>
        </w:r>
      </w:hyperlink>
      <w:r>
        <w:t xml:space="preserve"> </w:t>
      </w:r>
      <w:hyperlink r:id="rId37">
        <w:r>
          <w:rPr>
            <w:rStyle w:val="Hyperlink"/>
          </w:rPr>
          <w:t xml:space="preserve">[57]</w:t>
        </w:r>
      </w:hyperlink>
      <w:r>
        <w:t xml:space="preserve"> </w:t>
      </w:r>
      <w:hyperlink r:id="rId37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https://arxiv.org/html/2406.10306v1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https://arxiv.org/html/2406.10306v1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[30]</w:t>
        </w:r>
      </w:hyperlink>
      <w:r>
        <w:t xml:space="preserve"> </w:t>
      </w:r>
      <w:hyperlink r:id="rId39">
        <w:r>
          <w:rPr>
            <w:rStyle w:val="Hyperlink"/>
          </w:rPr>
          <w:t xml:space="preserve">[31]</w:t>
        </w:r>
      </w:hyperlink>
      <w:r>
        <w:t xml:space="preserve"> </w:t>
      </w:r>
      <w:hyperlink r:id="rId39">
        <w:r>
          <w:rPr>
            <w:rStyle w:val="Hyperlink"/>
          </w:rPr>
          <w:t xml:space="preserve">[32]</w:t>
        </w:r>
      </w:hyperlink>
      <w:r>
        <w:t xml:space="preserve"> </w:t>
      </w:r>
      <w:hyperlink r:id="rId3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https://arxiv.org/pdf/2310.06624</w:t>
      </w:r>
    </w:p>
    <w:p>
      <w:pPr>
        <w:pStyle w:val="BodyText"/>
      </w:pPr>
      <w:hyperlink r:id="rId39">
        <w:r>
          <w:rPr>
            <w:rStyle w:val="Hyperlink"/>
          </w:rPr>
          <w:t xml:space="preserve">https://arxiv.org/pdf/2310.06624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[33]</w:t>
        </w:r>
      </w:hyperlink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https://www.mdpi.com/1424-8220/22/5/1877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https://www.mdpi.com/1424-8220/22/5/1877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[37]</w:t>
        </w:r>
      </w:hyperlink>
      <w:r>
        <w:t xml:space="preserve"> </w:t>
      </w:r>
      <w:hyperlink r:id="rId41">
        <w:r>
          <w:rPr>
            <w:rStyle w:val="Hyperlink"/>
          </w:rPr>
          <w:t xml:space="preserve">[38]</w:t>
        </w:r>
      </w:hyperlink>
      <w:r>
        <w:t xml:space="preserve"> </w:t>
      </w:r>
      <w:hyperlink r:id="rId4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https://dl.acm.org/doi/abs/10.1007/s00521-024-09860-2</w:t>
      </w:r>
    </w:p>
    <w:p>
      <w:pPr>
        <w:pStyle w:val="BodyText"/>
      </w:pPr>
      <w:hyperlink r:id="rId41">
        <w:r>
          <w:rPr>
            <w:rStyle w:val="Hyperlink"/>
          </w:rPr>
          <w:t xml:space="preserve">https://dl.acm.org/doi/abs/10.1007/s00521-024-09860-2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[51]</w:t>
        </w:r>
      </w:hyperlink>
      <w:r>
        <w:t xml:space="preserve"> </w:t>
      </w:r>
      <w:hyperlink r:id="rId44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https://www.ebu.co.uk/documents/laws-and-ethics/blue-book/blue-book.pdf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https://www.ebu.co.uk/documents/laws-and-ethics/blue-book/blue-book.pdf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https://link.springer.com/article/10.1007/s10458-023-09633-6</w:t>
      </w:r>
    </w:p>
    <w:p>
      <w:pPr>
        <w:pStyle w:val="BodyText"/>
      </w:pPr>
      <w:hyperlink r:id="rId45">
        <w:r>
          <w:rPr>
            <w:rStyle w:val="Hyperlink"/>
          </w:rPr>
          <w:t xml:space="preserve">https://link.springer.com/article/10.1007/s10458-023-09633-6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rxiv.org/html/2406.10306v1" TargetMode="External" /><Relationship Type="http://schemas.openxmlformats.org/officeDocument/2006/relationships/hyperlink" Id="rId39" Target="https://arxiv.org/pdf/2310.06624" TargetMode="External" /><Relationship Type="http://schemas.openxmlformats.org/officeDocument/2006/relationships/hyperlink" Id="rId28" Target="https://blog.studywizardry.com/mastering-limits-and-continuity-calculus/?utm_source=chatgpt.com" TargetMode="External" /><Relationship Type="http://schemas.openxmlformats.org/officeDocument/2006/relationships/hyperlink" Id="rId36" Target="https://ctcba.org.tw/public/downloads/282_1712112615.pdf" TargetMode="External" /><Relationship Type="http://schemas.openxmlformats.org/officeDocument/2006/relationships/hyperlink" Id="rId41" Target="https://dl.acm.org/doi/abs/10.1007/s00521-024-09860-2" TargetMode="External" /><Relationship Type="http://schemas.openxmlformats.org/officeDocument/2006/relationships/hyperlink" Id="rId32" Target="https://econweb.ucsd.edu/~vcrawfor/CrawfordSobel82EMT.pdf" TargetMode="External" /><Relationship Type="http://schemas.openxmlformats.org/officeDocument/2006/relationships/hyperlink" Id="rId33" Target="https://ia803209.us.archive.org/27/items/bstj27-3-379/bstj27-3-379_text.pdf" TargetMode="External" /><Relationship Type="http://schemas.openxmlformats.org/officeDocument/2006/relationships/hyperlink" Id="rId45" Target="https://link.springer.com/article/10.1007/s10458-023-09633-6" TargetMode="External" /><Relationship Type="http://schemas.openxmlformats.org/officeDocument/2006/relationships/hyperlink" Id="rId34" Target="https://patents.google.com/patent/DK181435B1/en" TargetMode="External" /><Relationship Type="http://schemas.openxmlformats.org/officeDocument/2006/relationships/hyperlink" Id="rId21" Target="https://web2.acbl.org/documentlibrary/play/SP3%20%28bk%29%20single%20pages.pdf" TargetMode="External" /><Relationship Type="http://schemas.openxmlformats.org/officeDocument/2006/relationships/hyperlink" Id="rId31" Target="https://www.cis.upenn.edu/~stevez/cis670/pdfs/pi-calculus.pdf" TargetMode="External" /><Relationship Type="http://schemas.openxmlformats.org/officeDocument/2006/relationships/hyperlink" Id="rId22" Target="https://www.cl.cam.ac.uk/techreports/UCAM-CL-TR-299.html" TargetMode="External" /><Relationship Type="http://schemas.openxmlformats.org/officeDocument/2006/relationships/hyperlink" Id="rId44" Target="https://www.ebu.co.uk/documents/laws-and-ethics/blue-book/blue-book.pdf" TargetMode="External" /><Relationship Type="http://schemas.openxmlformats.org/officeDocument/2006/relationships/hyperlink" Id="rId25" Target="https://www.ieee-jas.net/article/doi/10.1109/JAS.2024.124488" TargetMode="External" /><Relationship Type="http://schemas.openxmlformats.org/officeDocument/2006/relationships/hyperlink" Id="rId30" Target="https://www.lfcs.inf.ed.ac.uk/reports/86/ECS-LFCS-86-7/ECS-LFCS-86-7.pdf" TargetMode="External" /><Relationship Type="http://schemas.openxmlformats.org/officeDocument/2006/relationships/hyperlink" Id="rId40" Target="https://www.mdpi.com/1424-8220/22/5/1877" TargetMode="External" /><Relationship Type="http://schemas.openxmlformats.org/officeDocument/2006/relationships/hyperlink" Id="rId24" Target="https://www.mdpi.com/2227-7390/10/17/3187" TargetMode="External" /><Relationship Type="http://schemas.openxmlformats.org/officeDocument/2006/relationships/hyperlink" Id="rId26" Target="https://www.sciencedirect.com/science/article/abs/pii/S0020025525009302" TargetMode="External" /><Relationship Type="http://schemas.openxmlformats.org/officeDocument/2006/relationships/hyperlink" Id="rId23" Target="https://www.worldbridge.org/wp-content/uploads/2017/03/2017LawsofDuplicateBridge-nohighlights.pdf" TargetMode="External" /><Relationship Type="http://schemas.openxmlformats.org/officeDocument/2006/relationships/hyperlink" Id="rId35" Target="https://www.worldbridge.org/wp-content/uploads/2019/01/2017LawsCommentar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rxiv.org/html/2406.10306v1" TargetMode="External" /><Relationship Type="http://schemas.openxmlformats.org/officeDocument/2006/relationships/hyperlink" Id="rId39" Target="https://arxiv.org/pdf/2310.06624" TargetMode="External" /><Relationship Type="http://schemas.openxmlformats.org/officeDocument/2006/relationships/hyperlink" Id="rId28" Target="https://blog.studywizardry.com/mastering-limits-and-continuity-calculus/?utm_source=chatgpt.com" TargetMode="External" /><Relationship Type="http://schemas.openxmlformats.org/officeDocument/2006/relationships/hyperlink" Id="rId36" Target="https://ctcba.org.tw/public/downloads/282_1712112615.pdf" TargetMode="External" /><Relationship Type="http://schemas.openxmlformats.org/officeDocument/2006/relationships/hyperlink" Id="rId41" Target="https://dl.acm.org/doi/abs/10.1007/s00521-024-09860-2" TargetMode="External" /><Relationship Type="http://schemas.openxmlformats.org/officeDocument/2006/relationships/hyperlink" Id="rId32" Target="https://econweb.ucsd.edu/~vcrawfor/CrawfordSobel82EMT.pdf" TargetMode="External" /><Relationship Type="http://schemas.openxmlformats.org/officeDocument/2006/relationships/hyperlink" Id="rId33" Target="https://ia803209.us.archive.org/27/items/bstj27-3-379/bstj27-3-379_text.pdf" TargetMode="External" /><Relationship Type="http://schemas.openxmlformats.org/officeDocument/2006/relationships/hyperlink" Id="rId45" Target="https://link.springer.com/article/10.1007/s10458-023-09633-6" TargetMode="External" /><Relationship Type="http://schemas.openxmlformats.org/officeDocument/2006/relationships/hyperlink" Id="rId34" Target="https://patents.google.com/patent/DK181435B1/en" TargetMode="External" /><Relationship Type="http://schemas.openxmlformats.org/officeDocument/2006/relationships/hyperlink" Id="rId21" Target="https://web2.acbl.org/documentlibrary/play/SP3%20%28bk%29%20single%20pages.pdf" TargetMode="External" /><Relationship Type="http://schemas.openxmlformats.org/officeDocument/2006/relationships/hyperlink" Id="rId31" Target="https://www.cis.upenn.edu/~stevez/cis670/pdfs/pi-calculus.pdf" TargetMode="External" /><Relationship Type="http://schemas.openxmlformats.org/officeDocument/2006/relationships/hyperlink" Id="rId22" Target="https://www.cl.cam.ac.uk/techreports/UCAM-CL-TR-299.html" TargetMode="External" /><Relationship Type="http://schemas.openxmlformats.org/officeDocument/2006/relationships/hyperlink" Id="rId44" Target="https://www.ebu.co.uk/documents/laws-and-ethics/blue-book/blue-book.pdf" TargetMode="External" /><Relationship Type="http://schemas.openxmlformats.org/officeDocument/2006/relationships/hyperlink" Id="rId25" Target="https://www.ieee-jas.net/article/doi/10.1109/JAS.2024.124488" TargetMode="External" /><Relationship Type="http://schemas.openxmlformats.org/officeDocument/2006/relationships/hyperlink" Id="rId30" Target="https://www.lfcs.inf.ed.ac.uk/reports/86/ECS-LFCS-86-7/ECS-LFCS-86-7.pdf" TargetMode="External" /><Relationship Type="http://schemas.openxmlformats.org/officeDocument/2006/relationships/hyperlink" Id="rId40" Target="https://www.mdpi.com/1424-8220/22/5/1877" TargetMode="External" /><Relationship Type="http://schemas.openxmlformats.org/officeDocument/2006/relationships/hyperlink" Id="rId24" Target="https://www.mdpi.com/2227-7390/10/17/3187" TargetMode="External" /><Relationship Type="http://schemas.openxmlformats.org/officeDocument/2006/relationships/hyperlink" Id="rId26" Target="https://www.sciencedirect.com/science/article/abs/pii/S0020025525009302" TargetMode="External" /><Relationship Type="http://schemas.openxmlformats.org/officeDocument/2006/relationships/hyperlink" Id="rId23" Target="https://www.worldbridge.org/wp-content/uploads/2017/03/2017LawsofDuplicateBridge-nohighlights.pdf" TargetMode="External" /><Relationship Type="http://schemas.openxmlformats.org/officeDocument/2006/relationships/hyperlink" Id="rId35" Target="https://www.worldbridge.org/wp-content/uploads/2019/01/2017LawsCommentar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2026-02-27T07:17:18Z</dcterms:created>
  <dcterms:modified xsi:type="dcterms:W3CDTF">2026-02-27T07:17:18Z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