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240" w:lineRule="auto"/>
        <w:rPr>
          <w:rFonts w:ascii="Calibri" w:cs="Calibri" w:eastAsia="Calibri" w:hAnsi="Calibri"/>
          <w:color w:val="0000ff"/>
          <w:sz w:val="28"/>
          <w:szCs w:val="28"/>
        </w:rPr>
      </w:pPr>
      <w:bookmarkStart w:colFirst="0" w:colLast="0" w:name="_xdba20ei2ths" w:id="0"/>
      <w:bookmarkEnd w:id="0"/>
      <w:r w:rsidDel="00000000" w:rsidR="00000000" w:rsidRPr="00000000">
        <w:rPr>
          <w:rFonts w:ascii="Calibri" w:cs="Calibri" w:eastAsia="Calibri" w:hAnsi="Calibri"/>
          <w:color w:val="0000ff"/>
          <w:sz w:val="28"/>
          <w:szCs w:val="28"/>
          <w:rtl w:val="0"/>
        </w:rPr>
        <w:t xml:space="preserve">Threat and Vulnerability Identification Template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this template to identify key assets, associated threats, potential vulnerabilities, and initial ideas for mitigation. This exercise helps build foundational skills in cybersecurity risk assessment.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30" w:tblpY="0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497" w:hRule="atLeast"/>
          <w:tblHeader w:val="0"/>
        </w:trPr>
        <w:tc>
          <w:tcPr>
            <w:shd w:fill="0000ff" w:val="clea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Asset Name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Asset Description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Associated Threats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Potential Vulnerabilities</w:t>
            </w:r>
          </w:p>
        </w:tc>
        <w:tc>
          <w:tcPr>
            <w:shd w:fill="0000ff" w:val="clea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Mitigation Notes</w:t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0" w:before="0" w:line="240" w:lineRule="auto"/>
        <w:rPr>
          <w:rFonts w:ascii="Calibri" w:cs="Calibri" w:eastAsia="Calibri" w:hAnsi="Calibri"/>
          <w:color w:val="0000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ff"/>
          <w:sz w:val="28"/>
          <w:szCs w:val="28"/>
          <w:rtl w:val="0"/>
        </w:rPr>
        <w:t xml:space="preserve">Risk Criteria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below explains what each item in the Risk Assessment means.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02.0" w:type="dxa"/>
        <w:jc w:val="left"/>
        <w:tblInd w:w="-5.0" w:type="dxa"/>
        <w:tblBorders>
          <w:top w:color="1d1a1d" w:space="0" w:sz="4" w:val="single"/>
          <w:left w:color="1d1a1d" w:space="0" w:sz="4" w:val="single"/>
          <w:bottom w:color="1d1a1d" w:space="0" w:sz="4" w:val="single"/>
          <w:right w:color="1d1a1d" w:space="0" w:sz="4" w:val="single"/>
          <w:insideH w:color="1d1a1d" w:space="0" w:sz="4" w:val="single"/>
          <w:insideV w:color="1d1a1d" w:space="0" w:sz="4" w:val="single"/>
        </w:tblBorders>
        <w:tblLayout w:type="fixed"/>
        <w:tblLook w:val="0420"/>
      </w:tblPr>
      <w:tblGrid>
        <w:gridCol w:w="1946"/>
        <w:gridCol w:w="7556"/>
        <w:tblGridChange w:id="0">
          <w:tblGrid>
            <w:gridCol w:w="1946"/>
            <w:gridCol w:w="7556"/>
          </w:tblGrid>
        </w:tblGridChange>
      </w:tblGrid>
      <w:tr>
        <w:trPr>
          <w:cantSplit w:val="1"/>
          <w:trHeight w:val="20" w:hRule="atLeast"/>
          <w:tblHeader w:val="1"/>
        </w:trPr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Calibri" w:cs="Calibri" w:eastAsia="Calibri" w:hAnsi="Calibri"/>
                <w:b w:val="0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Criteria</w:t>
            </w:r>
          </w:p>
        </w:tc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1D">
            <w:pPr>
              <w:spacing w:after="120" w:before="120" w:lineRule="auto"/>
              <w:rPr>
                <w:rFonts w:ascii="Calibri" w:cs="Calibri" w:eastAsia="Calibri" w:hAnsi="Calibri"/>
                <w:b w:val="0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1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Risk Description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Detailed explanation of the scenario, what could go wrong, and why it matters.</w:t>
            </w:r>
          </w:p>
        </w:tc>
      </w:tr>
      <w:tr>
        <w:trPr>
          <w:cantSplit w:val="1"/>
          <w:trHeight w:val="6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Assets at Risk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The information, system, or service impacted (e.g. customer data, VDI environment).</w:t>
            </w:r>
          </w:p>
        </w:tc>
      </w:tr>
      <w:tr>
        <w:trPr>
          <w:cantSplit w:val="1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Threat 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Who or what could cause the risk (e.g., insider, cybercriminal, accident, malware). The action or event (e.g., data exfiltration, privilege misuse, physical theft).</w:t>
            </w:r>
          </w:p>
        </w:tc>
      </w:tr>
      <w:tr>
        <w:trPr>
          <w:cantSplit w:val="1"/>
          <w:trHeight w:val="6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Vulnerability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Weakness – the gap or condition that enables the threat (e.g., extended idle session, clipboard sharing).</w:t>
            </w:r>
          </w:p>
        </w:tc>
      </w:tr>
      <w:tr>
        <w:trPr>
          <w:cantSplit w:val="1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Existing Controls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Current safeguards in place (e.g., MFA, logging, endpoint DLP).</w:t>
            </w:r>
          </w:p>
        </w:tc>
      </w:tr>
      <w:tr>
        <w:trPr>
          <w:cantSplit w:val="1"/>
          <w:trHeight w:val="6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Inherent Risk Rating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Risk level before any mitigations are applied.</w:t>
            </w:r>
          </w:p>
        </w:tc>
      </w:tr>
      <w:tr>
        <w:trPr>
          <w:cantSplit w:val="1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Residual Risk Rating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Risk level after current controls are considered.</w:t>
            </w:r>
          </w:p>
        </w:tc>
      </w:tr>
      <w:tr>
        <w:trPr>
          <w:cantSplit w:val="1"/>
          <w:trHeight w:val="6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Likelihood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The probability of occurrence (e.g., Rare, Possible, Likely).</w:t>
            </w:r>
          </w:p>
        </w:tc>
      </w:tr>
      <w:tr>
        <w:trPr>
          <w:cantSplit w:val="1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Consequence 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Severity – level of damage if realised (e.g., Minor, Moderate, Major, Extreme).</w:t>
            </w:r>
          </w:p>
        </w:tc>
      </w:tr>
      <w:tr>
        <w:trPr>
          <w:cantSplit w:val="1"/>
          <w:trHeight w:val="6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Rating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The outcome of the risk likelihood and consequence evaluation.</w:t>
            </w:r>
          </w:p>
        </w:tc>
      </w:tr>
      <w:tr>
        <w:trPr>
          <w:cantSplit w:val="1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Mitigations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Treatment Plan – actions to reduce, transfer, avoid, or accept the risk.</w:t>
            </w:r>
          </w:p>
        </w:tc>
      </w:tr>
      <w:tr>
        <w:trPr>
          <w:cantSplit w:val="1"/>
          <w:trHeight w:val="6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Risk Owner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Person or role accountable for managing the risk (e.g., the person who uses the software)  </w:t>
            </w:r>
          </w:p>
        </w:tc>
      </w:tr>
    </w:tbl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Calibri" w:cs="Calibri" w:eastAsia="Calibri" w:hAnsi="Calibri"/>
          <w:b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Calibri" w:cs="Calibri" w:eastAsia="Calibri" w:hAnsi="Calibri"/>
          <w:b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Calibri" w:cs="Calibri" w:eastAsia="Calibri" w:hAnsi="Calibri"/>
          <w:b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  <w:b w:val="1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  <w:b w:val="1"/>
          <w:color w:val="0000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28"/>
          <w:szCs w:val="28"/>
          <w:rtl w:val="0"/>
        </w:rPr>
        <w:t xml:space="preserve">Risk Assessment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Complete this assessment for at least 3 risks. 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6.000000000002" w:type="dxa"/>
        <w:jc w:val="center"/>
        <w:tblBorders>
          <w:top w:color="1d1a1d" w:space="0" w:sz="4" w:val="single"/>
          <w:left w:color="1d1a1d" w:space="0" w:sz="4" w:val="single"/>
          <w:bottom w:color="1d1a1d" w:space="0" w:sz="4" w:val="single"/>
          <w:right w:color="1d1a1d" w:space="0" w:sz="4" w:val="single"/>
          <w:insideH w:color="1d1a1d" w:space="0" w:sz="4" w:val="single"/>
          <w:insideV w:color="1d1a1d" w:space="0" w:sz="4" w:val="single"/>
        </w:tblBorders>
        <w:tblLayout w:type="fixed"/>
        <w:tblLook w:val="0420"/>
      </w:tblPr>
      <w:tblGrid>
        <w:gridCol w:w="1838"/>
        <w:gridCol w:w="851"/>
        <w:gridCol w:w="2268"/>
        <w:gridCol w:w="850"/>
        <w:gridCol w:w="887"/>
        <w:gridCol w:w="2232"/>
        <w:tblGridChange w:id="0">
          <w:tblGrid>
            <w:gridCol w:w="1838"/>
            <w:gridCol w:w="851"/>
            <w:gridCol w:w="2268"/>
            <w:gridCol w:w="850"/>
            <w:gridCol w:w="887"/>
            <w:gridCol w:w="2232"/>
          </w:tblGrid>
        </w:tblGridChange>
      </w:tblGrid>
      <w:tr>
        <w:trPr>
          <w:cantSplit w:val="1"/>
          <w:trHeight w:val="20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3E">
            <w:pPr>
              <w:spacing w:after="120" w:before="120" w:lineRule="auto"/>
              <w:rPr>
                <w:rFonts w:ascii="Montserrat SemiBold" w:cs="Montserrat SemiBold" w:eastAsia="Montserrat SemiBold" w:hAnsi="Montserrat SemiBold"/>
                <w:b w:val="0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b w:val="0"/>
                <w:color w:val="000000"/>
                <w:rtl w:val="0"/>
              </w:rPr>
              <w:t xml:space="preserve">Risk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0db" w:val="clear"/>
          </w:tcPr>
          <w:p w:rsidR="00000000" w:rsidDel="00000000" w:rsidP="00000000" w:rsidRDefault="00000000" w:rsidRPr="00000000" w14:paraId="00000044">
            <w:pPr>
              <w:rPr>
                <w:b w:val="1"/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Risk ID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5">
            <w:pPr>
              <w:rPr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0db" w:val="clear"/>
          </w:tcPr>
          <w:p w:rsidR="00000000" w:rsidDel="00000000" w:rsidP="00000000" w:rsidRDefault="00000000" w:rsidRPr="00000000" w14:paraId="00000047">
            <w:pPr>
              <w:rPr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Date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0db" w:val="clear"/>
          </w:tcPr>
          <w:p w:rsidR="00000000" w:rsidDel="00000000" w:rsidP="00000000" w:rsidRDefault="00000000" w:rsidRPr="00000000" w14:paraId="0000004A">
            <w:pPr>
              <w:rPr>
                <w:b w:val="1"/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Risk Title 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B">
            <w:pPr>
              <w:rPr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0db" w:val="clear"/>
          </w:tcPr>
          <w:p w:rsidR="00000000" w:rsidDel="00000000" w:rsidP="00000000" w:rsidRDefault="00000000" w:rsidRPr="00000000" w14:paraId="0000004D">
            <w:pPr>
              <w:rPr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Review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shd w:fill="f5f5f5" w:val="clear"/>
          </w:tcPr>
          <w:p w:rsidR="00000000" w:rsidDel="00000000" w:rsidP="00000000" w:rsidRDefault="00000000" w:rsidRPr="00000000" w14:paraId="00000050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b w:val="1"/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Identification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0db" w:val="clear"/>
          </w:tcPr>
          <w:p w:rsidR="00000000" w:rsidDel="00000000" w:rsidP="00000000" w:rsidRDefault="00000000" w:rsidRPr="00000000" w14:paraId="00000056">
            <w:pPr>
              <w:rPr>
                <w:b w:val="1"/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Risk Description</w:t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57">
            <w:pPr>
              <w:rPr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0db" w:val="clear"/>
          </w:tcPr>
          <w:p w:rsidR="00000000" w:rsidDel="00000000" w:rsidP="00000000" w:rsidRDefault="00000000" w:rsidRPr="00000000" w14:paraId="0000005C">
            <w:pPr>
              <w:rPr>
                <w:b w:val="1"/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Assets at Risk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5D">
            <w:pPr>
              <w:rPr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0db" w:val="clear"/>
          </w:tcPr>
          <w:p w:rsidR="00000000" w:rsidDel="00000000" w:rsidP="00000000" w:rsidRDefault="00000000" w:rsidRPr="00000000" w14:paraId="00000062">
            <w:pPr>
              <w:rPr>
                <w:b w:val="1"/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Threat </w:t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3">
            <w:pPr>
              <w:rPr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0db" w:val="clear"/>
          </w:tcPr>
          <w:p w:rsidR="00000000" w:rsidDel="00000000" w:rsidP="00000000" w:rsidRDefault="00000000" w:rsidRPr="00000000" w14:paraId="00000068">
            <w:pPr>
              <w:rPr>
                <w:b w:val="1"/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Vulnerability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69">
            <w:pPr>
              <w:rPr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0db" w:val="clear"/>
          </w:tcPr>
          <w:p w:rsidR="00000000" w:rsidDel="00000000" w:rsidP="00000000" w:rsidRDefault="00000000" w:rsidRPr="00000000" w14:paraId="0000006E">
            <w:pPr>
              <w:rPr>
                <w:b w:val="1"/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Existing Controls</w:t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6F">
            <w:pPr>
              <w:rPr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shd w:fill="f5f5f5" w:val="clear"/>
          </w:tcPr>
          <w:p w:rsidR="00000000" w:rsidDel="00000000" w:rsidP="00000000" w:rsidRDefault="00000000" w:rsidRPr="00000000" w14:paraId="00000074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Inherent Risk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8f0db" w:val="clear"/>
          </w:tcPr>
          <w:p w:rsidR="00000000" w:rsidDel="00000000" w:rsidP="00000000" w:rsidRDefault="00000000" w:rsidRPr="00000000" w14:paraId="0000007A">
            <w:pPr>
              <w:rPr>
                <w:b w:val="1"/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Likelihood</w:t>
            </w:r>
          </w:p>
        </w:tc>
        <w:tc>
          <w:tcPr>
            <w:gridSpan w:val="2"/>
            <w:shd w:fill="f8f0db" w:val="clear"/>
          </w:tcPr>
          <w:p w:rsidR="00000000" w:rsidDel="00000000" w:rsidP="00000000" w:rsidRDefault="00000000" w:rsidRPr="00000000" w14:paraId="0000007C">
            <w:pPr>
              <w:rPr>
                <w:b w:val="1"/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Consequence</w:t>
            </w:r>
          </w:p>
        </w:tc>
        <w:tc>
          <w:tcPr>
            <w:gridSpan w:val="2"/>
            <w:shd w:fill="f8f0db" w:val="clear"/>
          </w:tcPr>
          <w:p w:rsidR="00000000" w:rsidDel="00000000" w:rsidP="00000000" w:rsidRDefault="00000000" w:rsidRPr="00000000" w14:paraId="0000007E">
            <w:pPr>
              <w:rPr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Inherent 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shd w:fill="f5f5f5" w:val="clear"/>
          </w:tcPr>
          <w:p w:rsidR="00000000" w:rsidDel="00000000" w:rsidP="00000000" w:rsidRDefault="00000000" w:rsidRPr="00000000" w14:paraId="0000008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Residual Risk Analysis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8f0db" w:val="clear"/>
          </w:tcPr>
          <w:p w:rsidR="00000000" w:rsidDel="00000000" w:rsidP="00000000" w:rsidRDefault="00000000" w:rsidRPr="00000000" w14:paraId="0000008C">
            <w:pPr>
              <w:rPr>
                <w:b w:val="1"/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Likelihood</w:t>
            </w:r>
          </w:p>
        </w:tc>
        <w:tc>
          <w:tcPr>
            <w:gridSpan w:val="2"/>
            <w:shd w:fill="f8f0db" w:val="clear"/>
          </w:tcPr>
          <w:p w:rsidR="00000000" w:rsidDel="00000000" w:rsidP="00000000" w:rsidRDefault="00000000" w:rsidRPr="00000000" w14:paraId="0000008E">
            <w:pPr>
              <w:rPr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Consequence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8f0db" w:val="clear"/>
          </w:tcPr>
          <w:p w:rsidR="00000000" w:rsidDel="00000000" w:rsidP="00000000" w:rsidRDefault="00000000" w:rsidRPr="00000000" w14:paraId="00000090">
            <w:pPr>
              <w:rPr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Residual Risk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shd w:fill="f5f5f5" w:val="clear"/>
          </w:tcPr>
          <w:p w:rsidR="00000000" w:rsidDel="00000000" w:rsidP="00000000" w:rsidRDefault="00000000" w:rsidRPr="00000000" w14:paraId="0000009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 Treatment</w:t>
            </w:r>
          </w:p>
        </w:tc>
      </w:tr>
      <w:tr>
        <w:trPr>
          <w:cantSplit w:val="1"/>
          <w:tblHeader w:val="0"/>
        </w:trPr>
        <w:tc>
          <w:tcPr>
            <w:shd w:fill="f8f0db" w:val="clear"/>
          </w:tcPr>
          <w:p w:rsidR="00000000" w:rsidDel="00000000" w:rsidP="00000000" w:rsidRDefault="00000000" w:rsidRPr="00000000" w14:paraId="0000009E">
            <w:pPr>
              <w:rPr>
                <w:b w:val="1"/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Mitigations </w:t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9F">
            <w:pPr>
              <w:rPr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shd w:fill="f5f5f5" w:val="clear"/>
          </w:tcPr>
          <w:p w:rsidR="00000000" w:rsidDel="00000000" w:rsidP="00000000" w:rsidRDefault="00000000" w:rsidRPr="00000000" w14:paraId="000000A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 Monitoring and Review</w:t>
            </w:r>
          </w:p>
        </w:tc>
      </w:tr>
      <w:tr>
        <w:trPr>
          <w:cantSplit w:val="0"/>
          <w:tblHeader w:val="0"/>
        </w:trPr>
        <w:tc>
          <w:tcPr>
            <w:shd w:fill="f8f0db" w:val="clear"/>
          </w:tcPr>
          <w:p w:rsidR="00000000" w:rsidDel="00000000" w:rsidP="00000000" w:rsidRDefault="00000000" w:rsidRPr="00000000" w14:paraId="000000AA">
            <w:pPr>
              <w:rPr>
                <w:b w:val="1"/>
                <w:color w:val="1d1a1d"/>
              </w:rPr>
            </w:pPr>
            <w:r w:rsidDel="00000000" w:rsidR="00000000" w:rsidRPr="00000000">
              <w:rPr>
                <w:b w:val="1"/>
                <w:color w:val="1d1a1d"/>
                <w:rtl w:val="0"/>
              </w:rPr>
              <w:t xml:space="preserve">Risk Owner </w:t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AB">
            <w:pPr>
              <w:rPr>
                <w:color w:val="1d1a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1.3203125"/>
        <w:gridCol w:w="8298.6796875"/>
        <w:tblGridChange w:id="0">
          <w:tblGrid>
            <w:gridCol w:w="1061.3203125"/>
            <w:gridCol w:w="8298.67968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gridSpan w:val="2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240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center"/>
        <w:rPr>
          <w:rFonts w:ascii="Calibri" w:cs="Calibri" w:eastAsia="Calibri" w:hAnsi="Calibri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center"/>
        <w:rPr>
          <w:rFonts w:ascii="Calibri" w:cs="Calibri" w:eastAsia="Calibri" w:hAnsi="Calibri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center"/>
        <w:rPr>
          <w:rFonts w:ascii="Calibri" w:cs="Calibri" w:eastAsia="Calibri" w:hAnsi="Calibri"/>
          <w:color w:val="0000ff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ff"/>
          <w:sz w:val="28"/>
          <w:szCs w:val="28"/>
          <w:rtl w:val="0"/>
        </w:rPr>
        <w:t xml:space="preserve">Cybersecurity Risk Prioritisation Matrix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Calibri" w:cs="Calibri" w:eastAsia="Calibri" w:hAnsi="Calibri"/>
          <w:b w:val="1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24"/>
          <w:szCs w:val="24"/>
          <w:rtl w:val="0"/>
        </w:rPr>
        <w:t xml:space="preserve">Understanding the Likelihood Rating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table below provides the categories and ratings for likelihood:</w:t>
      </w:r>
    </w:p>
    <w:tbl>
      <w:tblPr>
        <w:tblStyle w:val="Table5"/>
        <w:tblW w:w="10800.0" w:type="dxa"/>
        <w:jc w:val="left"/>
        <w:tblBorders>
          <w:top w:color="1d1a1d" w:space="0" w:sz="4" w:val="single"/>
          <w:left w:color="1d1a1d" w:space="0" w:sz="4" w:val="single"/>
          <w:bottom w:color="1d1a1d" w:space="0" w:sz="4" w:val="single"/>
          <w:right w:color="1d1a1d" w:space="0" w:sz="4" w:val="single"/>
          <w:insideH w:color="1d1a1d" w:space="0" w:sz="4" w:val="single"/>
          <w:insideV w:color="1d1a1d" w:space="0" w:sz="4" w:val="single"/>
        </w:tblBorders>
        <w:tblLayout w:type="fixed"/>
        <w:tblLook w:val="0420"/>
      </w:tblPr>
      <w:tblGrid>
        <w:gridCol w:w="1720"/>
        <w:gridCol w:w="2660"/>
        <w:gridCol w:w="6420"/>
        <w:tblGridChange w:id="0">
          <w:tblGrid>
            <w:gridCol w:w="1720"/>
            <w:gridCol w:w="2660"/>
            <w:gridCol w:w="6420"/>
          </w:tblGrid>
        </w:tblGridChange>
      </w:tblGrid>
      <w:tr>
        <w:trPr>
          <w:cantSplit w:val="1"/>
          <w:trHeight w:val="6" w:hRule="atLeast"/>
          <w:tblHeader w:val="1"/>
        </w:trPr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C2">
            <w:pPr>
              <w:spacing w:after="120" w:before="120" w:lineRule="auto"/>
              <w:rPr>
                <w:rFonts w:ascii="Calibri" w:cs="Calibri" w:eastAsia="Calibri" w:hAnsi="Calibri"/>
                <w:b w:val="0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Likelihood Ratings</w:t>
            </w:r>
          </w:p>
        </w:tc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C3">
            <w:pPr>
              <w:spacing w:after="120" w:before="120" w:lineRule="auto"/>
              <w:rPr>
                <w:rFonts w:ascii="Calibri" w:cs="Calibri" w:eastAsia="Calibri" w:hAnsi="Calibri"/>
                <w:b w:val="0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Description</w:t>
            </w:r>
          </w:p>
        </w:tc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C4">
            <w:pPr>
              <w:spacing w:after="120" w:before="120" w:lineRule="auto"/>
              <w:rPr>
                <w:rFonts w:ascii="Calibri" w:cs="Calibri" w:eastAsia="Calibri" w:hAnsi="Calibri"/>
                <w:b w:val="0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Criteria</w:t>
            </w:r>
          </w:p>
        </w:tc>
      </w:tr>
      <w:tr>
        <w:trPr>
          <w:cantSplit w:val="1"/>
          <w:trHeight w:val="2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Rare (1)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Exceptional circumstances only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May occur only in very unusual situations </w:t>
            </w:r>
          </w:p>
        </w:tc>
      </w:tr>
      <w:tr>
        <w:trPr>
          <w:cantSplit w:val="1"/>
          <w:trHeight w:val="28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Unlikely (2)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Possible, but not expected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Could happen but not typical; requires specific conditions (e.g. targeted phishing bypassing all filters).</w:t>
            </w:r>
          </w:p>
        </w:tc>
      </w:tr>
      <w:tr>
        <w:trPr>
          <w:cantSplit w:val="1"/>
          <w:trHeight w:val="3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Possible (3)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Might occur at some point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Has occurred in similar organisations; realistic but not frequent (e.g. ransomware attempt on enterprise endpoint).</w:t>
            </w:r>
          </w:p>
        </w:tc>
      </w:tr>
      <w:tr>
        <w:trPr>
          <w:cantSplit w:val="1"/>
          <w:trHeight w:val="28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Likely (4)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Will probably occur in most circumstances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Expected to happen periodically (e.g. phishing emails, credential stuffing attempts).</w:t>
            </w:r>
          </w:p>
        </w:tc>
      </w:tr>
      <w:tr>
        <w:trPr>
          <w:cantSplit w:val="1"/>
          <w:trHeight w:val="2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Almost Certain (5)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Expected to occur frequently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Has occurred multiple times, highly predictable (e.g. malware probes, daily scanning activity).</w:t>
            </w:r>
          </w:p>
        </w:tc>
      </w:tr>
    </w:tbl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Calibri" w:cs="Calibri" w:eastAsia="Calibri" w:hAnsi="Calibri"/>
          <w:b w:val="1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24"/>
          <w:szCs w:val="24"/>
          <w:rtl w:val="0"/>
        </w:rPr>
        <w:t xml:space="preserve">Understanding the Consequence Ratings Table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table below provides the categories and ratings for impacts:</w:t>
      </w:r>
    </w:p>
    <w:tbl>
      <w:tblPr>
        <w:tblStyle w:val="Table6"/>
        <w:tblW w:w="10800.0" w:type="dxa"/>
        <w:jc w:val="left"/>
        <w:tblBorders>
          <w:top w:color="1d1a1d" w:space="0" w:sz="4" w:val="single"/>
          <w:left w:color="1d1a1d" w:space="0" w:sz="4" w:val="single"/>
          <w:bottom w:color="1d1a1d" w:space="0" w:sz="4" w:val="single"/>
          <w:right w:color="1d1a1d" w:space="0" w:sz="4" w:val="single"/>
          <w:insideH w:color="1d1a1d" w:space="0" w:sz="4" w:val="single"/>
          <w:insideV w:color="1d1a1d" w:space="0" w:sz="4" w:val="single"/>
        </w:tblBorders>
        <w:tblLayout w:type="fixed"/>
        <w:tblLook w:val="0420"/>
      </w:tblPr>
      <w:tblGrid>
        <w:gridCol w:w="1640"/>
        <w:gridCol w:w="2900"/>
        <w:gridCol w:w="6260"/>
        <w:tblGridChange w:id="0">
          <w:tblGrid>
            <w:gridCol w:w="1640"/>
            <w:gridCol w:w="2900"/>
            <w:gridCol w:w="6260"/>
          </w:tblGrid>
        </w:tblGridChange>
      </w:tblGrid>
      <w:tr>
        <w:trPr>
          <w:cantSplit w:val="0"/>
          <w:trHeight w:val="29" w:hRule="atLeast"/>
          <w:tblHeader w:val="0"/>
        </w:trPr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D7">
            <w:pPr>
              <w:spacing w:after="120" w:before="120" w:lineRule="auto"/>
              <w:rPr>
                <w:rFonts w:ascii="Calibri" w:cs="Calibri" w:eastAsia="Calibri" w:hAnsi="Calibri"/>
                <w:b w:val="0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Consequence Rating</w:t>
            </w:r>
          </w:p>
        </w:tc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D8">
            <w:pPr>
              <w:spacing w:after="120" w:before="120" w:lineRule="auto"/>
              <w:rPr>
                <w:rFonts w:ascii="Calibri" w:cs="Calibri" w:eastAsia="Calibri" w:hAnsi="Calibri"/>
                <w:b w:val="0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Description</w:t>
            </w:r>
          </w:p>
        </w:tc>
        <w:tc>
          <w:tcPr>
            <w:shd w:fill="0000ff" w:val="clear"/>
            <w:vAlign w:val="center"/>
          </w:tcPr>
          <w:p w:rsidR="00000000" w:rsidDel="00000000" w:rsidP="00000000" w:rsidRDefault="00000000" w:rsidRPr="00000000" w14:paraId="000000D9">
            <w:pPr>
              <w:spacing w:after="120" w:before="120" w:lineRule="auto"/>
              <w:rPr>
                <w:rFonts w:ascii="Calibri" w:cs="Calibri" w:eastAsia="Calibri" w:hAnsi="Calibri"/>
                <w:b w:val="0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rtl w:val="0"/>
              </w:rPr>
              <w:t xml:space="preserve">Criteria</w:t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Insignificant (1)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Negligible impact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No compromise of sensitive data, no disruption, minimal financial or reputational impact.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Minor (2)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Small impact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Limited operational disruption; minimal data exposure (non-sensitive data); easily contained.</w:t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Moderate (3)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Noticeable impact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Partial service disruption; limited sensitive data exposure; moderate cost or compliance breach.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Major (4)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Severe impact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Significant outage of critical systems; large-scale sensitive data breach; regulatory non-compliance with penalties.</w:t>
            </w:r>
          </w:p>
        </w:tc>
      </w:tr>
      <w:tr>
        <w:trPr>
          <w:cantSplit w:val="0"/>
          <w:trHeight w:val="11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Calibri" w:cs="Calibri" w:eastAsia="Calibri" w:hAnsi="Calibri"/>
                <w:b w:val="1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rtl w:val="0"/>
              </w:rPr>
              <w:t xml:space="preserve">Extreme (5)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Catastrophic impact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color w:val="1d1a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rtl w:val="0"/>
              </w:rPr>
              <w:t xml:space="preserve">Extended enterprise-wide outage; compromise of PROTECTED/SECRET data; severe financial/reputational damage; possible criminal or regulatory prosecution.</w:t>
            </w:r>
          </w:p>
        </w:tc>
      </w:tr>
    </w:tbl>
    <w:p w:rsidR="00000000" w:rsidDel="00000000" w:rsidP="00000000" w:rsidRDefault="00000000" w:rsidRPr="00000000" w14:paraId="000000E9">
      <w:pPr>
        <w:spacing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Calibri" w:cs="Calibri" w:eastAsia="Calibri" w:hAnsi="Calibri"/>
          <w:b w:val="1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24"/>
          <w:szCs w:val="24"/>
          <w:rtl w:val="0"/>
        </w:rPr>
        <w:t xml:space="preserve">The 5x5 Risk Matrix 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this 5x5 risk matrix to evaluate and prioritise cybersecurity risks. For each identified risk, assess its likelihood (1 = Rare, 5 = Almost Certain) and impact (1 = Insignificant, 5 = Critical). Plot the risk in the matrix and use the result to guide mitigation priorities.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Calibri" w:cs="Calibri" w:eastAsia="Calibri" w:hAnsi="Calibri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rPr>
          <w:rFonts w:ascii="Calibri" w:cs="Calibri" w:eastAsia="Calibri" w:hAnsi="Calibri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>
          <w:rFonts w:ascii="Calibri" w:cs="Calibri" w:eastAsia="Calibri" w:hAnsi="Calibri"/>
          <w:b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rPr>
          <w:rFonts w:ascii="Calibri" w:cs="Calibri" w:eastAsia="Calibri" w:hAnsi="Calibri"/>
          <w:b w:val="1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24"/>
          <w:szCs w:val="24"/>
          <w:rtl w:val="0"/>
        </w:rPr>
        <w:t xml:space="preserve">Risk Levels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465" w:tblpY="0"/>
        <w:tblW w:w="10800.0" w:type="dxa"/>
        <w:jc w:val="left"/>
        <w:tblBorders>
          <w:top w:color="1d1a1d" w:space="0" w:sz="4" w:val="single"/>
          <w:left w:color="1d1a1d" w:space="0" w:sz="4" w:val="single"/>
          <w:bottom w:color="1d1a1d" w:space="0" w:sz="4" w:val="single"/>
          <w:right w:color="1d1a1d" w:space="0" w:sz="4" w:val="single"/>
          <w:insideH w:color="1d1a1d" w:space="0" w:sz="4" w:val="single"/>
          <w:insideV w:color="1d1a1d" w:space="0" w:sz="4" w:val="single"/>
        </w:tblBorders>
        <w:tblLayout w:type="fixed"/>
        <w:tblLook w:val="042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1"/>
          <w:trHeight w:val="1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120" w:before="120" w:lineRule="auto"/>
              <w:jc w:val="center"/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  <w:rtl w:val="0"/>
              </w:rPr>
              <w:t xml:space="preserve">Likelihood ↓</w:t>
            </w:r>
          </w:p>
          <w:p w:rsidR="00000000" w:rsidDel="00000000" w:rsidP="00000000" w:rsidRDefault="00000000" w:rsidRPr="00000000" w14:paraId="000000F4">
            <w:pPr>
              <w:spacing w:after="120" w:before="120" w:lineRule="auto"/>
              <w:jc w:val="center"/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  <w:rtl w:val="0"/>
              </w:rPr>
              <w:t xml:space="preserve">Impact →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120" w:before="120" w:lineRule="auto"/>
              <w:jc w:val="center"/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  <w:rtl w:val="0"/>
              </w:rPr>
              <w:t xml:space="preserve">Insignificant 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120" w:before="120" w:lineRule="auto"/>
              <w:jc w:val="center"/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  <w:rtl w:val="0"/>
              </w:rPr>
              <w:t xml:space="preserve">Minor 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120" w:before="120" w:lineRule="auto"/>
              <w:jc w:val="center"/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  <w:rtl w:val="0"/>
              </w:rPr>
              <w:t xml:space="preserve">Moderate (3)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120" w:before="120" w:lineRule="auto"/>
              <w:jc w:val="center"/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  <w:rtl w:val="0"/>
              </w:rPr>
              <w:t xml:space="preserve">Major (4)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120" w:before="120" w:lineRule="auto"/>
              <w:jc w:val="center"/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000000"/>
                <w:sz w:val="22"/>
                <w:szCs w:val="22"/>
                <w:rtl w:val="0"/>
              </w:rPr>
              <w:t xml:space="preserve">Extreme (5)</w:t>
            </w:r>
          </w:p>
        </w:tc>
      </w:tr>
      <w:tr>
        <w:trPr>
          <w:cantSplit w:val="1"/>
          <w:trHeight w:val="543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sz w:val="22"/>
                <w:szCs w:val="22"/>
                <w:rtl w:val="0"/>
              </w:rPr>
              <w:t xml:space="preserve">5 – Almost Certain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shd w:fill="ff0000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EXTREME</w:t>
            </w:r>
          </w:p>
        </w:tc>
        <w:tc>
          <w:tcPr>
            <w:shd w:fill="ff0000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EXTREME</w:t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sz w:val="22"/>
                <w:szCs w:val="22"/>
                <w:rtl w:val="0"/>
              </w:rPr>
              <w:t xml:space="preserve">4 – Likely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shd w:fill="ff0000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EXTREME</w:t>
            </w:r>
          </w:p>
        </w:tc>
      </w:tr>
      <w:tr>
        <w:trPr>
          <w:cantSplit w:val="1"/>
          <w:trHeight w:val="348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sz w:val="22"/>
                <w:szCs w:val="22"/>
                <w:rtl w:val="0"/>
              </w:rPr>
              <w:t xml:space="preserve">3 – Possible</w:t>
            </w:r>
          </w:p>
        </w:tc>
        <w:tc>
          <w:tcPr>
            <w:shd w:fill="92d050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HIGH</w:t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sz w:val="22"/>
                <w:szCs w:val="22"/>
                <w:rtl w:val="0"/>
              </w:rPr>
              <w:t xml:space="preserve">2 – Unlikely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HIGH</w:t>
            </w:r>
          </w:p>
        </w:tc>
      </w:tr>
      <w:tr>
        <w:trPr>
          <w:cantSplit w:val="1"/>
          <w:trHeight w:val="348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d1a1d"/>
                <w:sz w:val="22"/>
                <w:szCs w:val="22"/>
                <w:rtl w:val="0"/>
              </w:rPr>
              <w:t xml:space="preserve">1 – Rare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d1a1d"/>
                <w:sz w:val="22"/>
                <w:szCs w:val="22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18">
      <w:pPr>
        <w:numPr>
          <w:ilvl w:val="0"/>
          <w:numId w:val="1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Low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– Acceptable; manage by routine controls and monitoring. 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Medium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– Requires management attention; additional controls may be needed. 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High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– Significant; must be treated with priority, monitored closely, and escalated to senior management. 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line="27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Extreme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– Unacceptable; immediate executive-level attention and remediation required. 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rPr>
          <w:rFonts w:ascii="Calibri" w:cs="Calibri" w:eastAsia="Calibri" w:hAnsi="Calibri"/>
          <w:b w:val="1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ff"/>
          <w:sz w:val="24"/>
          <w:szCs w:val="24"/>
          <w:rtl w:val="0"/>
        </w:rPr>
        <w:t xml:space="preserve">Tips for Completing the Matrix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Start by identifying the risk scenario (e.g., data breach, system outage).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Assign a likelihood score based on how often this type of risk occurs.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Assign an impact score based on potential damage to operations, reputation, or finances.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Use the matrix to prioritise: risks in the top-right corner (high likelihood and impact) need urgent attention.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entury Schoolbook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96" w:before="96" w:line="240" w:lineRule="auto"/>
    </w:pPr>
    <w:rPr>
      <w:rFonts w:ascii="Montserrat" w:cs="Montserrat" w:eastAsia="Montserrat" w:hAnsi="Montserrat"/>
      <w:sz w:val="18"/>
      <w:szCs w:val="1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>
        <w:spacing w:after="96.00000000000001" w:before="96.00000000000001" w:line="240" w:lineRule="auto"/>
      </w:pPr>
    </w:tblStylePr>
    <w:tblStylePr w:type="band2Horz">
      <w:pPr>
        <w:spacing w:after="96.00000000000001" w:before="96.00000000000001" w:line="240" w:lineRule="auto"/>
      </w:pPr>
      <w:tcPr>
        <w:shd w:fill="d9edeb" w:val="clear"/>
      </w:tcPr>
    </w:tblStylePr>
    <w:tblStylePr w:type="firstRow">
      <w:pPr>
        <w:spacing w:after="0" w:before="0" w:line="240" w:lineRule="auto"/>
        <w:jc w:val="left"/>
      </w:pPr>
      <w:rPr>
        <w:rFonts w:ascii="Century Schoolbook" w:cs="Century Schoolbook" w:eastAsia="Century Schoolbook" w:hAnsi="Century Schoolbook"/>
        <w:b w:val="1"/>
        <w:color w:val="ffffff"/>
        <w:sz w:val="18"/>
        <w:szCs w:val="18"/>
      </w:rPr>
      <w:tcPr>
        <w:shd w:fill="f5f5f5" w:val="clear"/>
      </w:tcPr>
    </w:tblStylePr>
    <w:tblStylePr w:type="lastRow">
      <w:pPr>
        <w:spacing w:after="96.00000000000001" w:before="96.00000000000001" w:lineRule="auto"/>
      </w:pPr>
    </w:tblStylePr>
  </w:style>
  <w:style w:type="table" w:styleId="Table3">
    <w:basedOn w:val="TableNormal"/>
    <w:pPr>
      <w:spacing w:after="96" w:before="96" w:line="240" w:lineRule="auto"/>
    </w:pPr>
    <w:rPr>
      <w:rFonts w:ascii="Montserrat" w:cs="Montserrat" w:eastAsia="Montserrat" w:hAnsi="Montserrat"/>
      <w:sz w:val="18"/>
      <w:szCs w:val="1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>
        <w:spacing w:after="96.00000000000001" w:before="96.00000000000001" w:line="240" w:lineRule="auto"/>
      </w:pPr>
    </w:tblStylePr>
    <w:tblStylePr w:type="band2Horz">
      <w:pPr>
        <w:spacing w:after="96.00000000000001" w:before="96.00000000000001" w:line="240" w:lineRule="auto"/>
      </w:pPr>
      <w:tcPr>
        <w:shd w:fill="d9edeb" w:val="clear"/>
      </w:tcPr>
    </w:tblStylePr>
    <w:tblStylePr w:type="firstRow">
      <w:pPr>
        <w:spacing w:after="0" w:before="0" w:line="240" w:lineRule="auto"/>
        <w:jc w:val="left"/>
      </w:pPr>
      <w:rPr>
        <w:rFonts w:ascii="Century Schoolbook" w:cs="Century Schoolbook" w:eastAsia="Century Schoolbook" w:hAnsi="Century Schoolbook"/>
        <w:b w:val="1"/>
        <w:color w:val="ffffff"/>
        <w:sz w:val="18"/>
        <w:szCs w:val="18"/>
      </w:rPr>
      <w:tcPr>
        <w:shd w:fill="f5f5f5" w:val="clear"/>
      </w:tcPr>
    </w:tblStylePr>
    <w:tblStylePr w:type="lastRow">
      <w:pPr>
        <w:spacing w:after="96.00000000000001" w:before="96.00000000000001" w:lineRule="auto"/>
      </w:pPr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96" w:before="96" w:line="240" w:lineRule="auto"/>
    </w:pPr>
    <w:rPr>
      <w:rFonts w:ascii="Montserrat" w:cs="Montserrat" w:eastAsia="Montserrat" w:hAnsi="Montserrat"/>
      <w:sz w:val="18"/>
      <w:szCs w:val="1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>
        <w:spacing w:after="96.00000000000001" w:before="96.00000000000001" w:line="240" w:lineRule="auto"/>
      </w:pPr>
    </w:tblStylePr>
    <w:tblStylePr w:type="band2Horz">
      <w:pPr>
        <w:spacing w:after="96.00000000000001" w:before="96.00000000000001" w:line="240" w:lineRule="auto"/>
      </w:pPr>
      <w:tcPr>
        <w:shd w:fill="d9edeb" w:val="clear"/>
      </w:tcPr>
    </w:tblStylePr>
    <w:tblStylePr w:type="firstRow">
      <w:pPr>
        <w:spacing w:after="0" w:before="0" w:line="240" w:lineRule="auto"/>
        <w:jc w:val="left"/>
      </w:pPr>
      <w:rPr>
        <w:rFonts w:ascii="Century Schoolbook" w:cs="Century Schoolbook" w:eastAsia="Century Schoolbook" w:hAnsi="Century Schoolbook"/>
        <w:b w:val="1"/>
        <w:color w:val="ffffff"/>
        <w:sz w:val="18"/>
        <w:szCs w:val="18"/>
      </w:rPr>
      <w:tcPr>
        <w:shd w:fill="f5f5f5" w:val="clear"/>
      </w:tcPr>
    </w:tblStylePr>
    <w:tblStylePr w:type="lastRow">
      <w:pPr>
        <w:spacing w:after="96.00000000000001" w:before="96.00000000000001" w:lineRule="auto"/>
      </w:pPr>
    </w:tblStylePr>
  </w:style>
  <w:style w:type="table" w:styleId="Table6">
    <w:basedOn w:val="TableNormal"/>
    <w:pPr>
      <w:spacing w:after="96" w:before="96" w:line="240" w:lineRule="auto"/>
    </w:pPr>
    <w:rPr>
      <w:rFonts w:ascii="Montserrat" w:cs="Montserrat" w:eastAsia="Montserrat" w:hAnsi="Montserrat"/>
      <w:sz w:val="18"/>
      <w:szCs w:val="1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>
        <w:spacing w:after="96.00000000000001" w:before="96.00000000000001" w:line="240" w:lineRule="auto"/>
      </w:pPr>
    </w:tblStylePr>
    <w:tblStylePr w:type="band2Horz">
      <w:pPr>
        <w:spacing w:after="96.00000000000001" w:before="96.00000000000001" w:line="240" w:lineRule="auto"/>
      </w:pPr>
      <w:tcPr>
        <w:shd w:fill="d9edeb" w:val="clear"/>
      </w:tcPr>
    </w:tblStylePr>
    <w:tblStylePr w:type="firstRow">
      <w:pPr>
        <w:spacing w:after="0" w:before="0" w:line="240" w:lineRule="auto"/>
        <w:jc w:val="left"/>
      </w:pPr>
      <w:rPr>
        <w:rFonts w:ascii="Century Schoolbook" w:cs="Century Schoolbook" w:eastAsia="Century Schoolbook" w:hAnsi="Century Schoolbook"/>
        <w:b w:val="1"/>
        <w:color w:val="ffffff"/>
        <w:sz w:val="18"/>
        <w:szCs w:val="18"/>
      </w:rPr>
      <w:tcPr>
        <w:shd w:fill="f5f5f5" w:val="clear"/>
      </w:tcPr>
    </w:tblStylePr>
    <w:tblStylePr w:type="lastRow">
      <w:pPr>
        <w:spacing w:after="96.00000000000001" w:before="96.00000000000001" w:lineRule="auto"/>
      </w:pPr>
    </w:tblStylePr>
  </w:style>
  <w:style w:type="table" w:styleId="Table7">
    <w:basedOn w:val="TableNormal"/>
    <w:pPr>
      <w:spacing w:after="96" w:before="96" w:line="240" w:lineRule="auto"/>
    </w:pPr>
    <w:rPr>
      <w:rFonts w:ascii="Montserrat" w:cs="Montserrat" w:eastAsia="Montserrat" w:hAnsi="Montserrat"/>
      <w:sz w:val="18"/>
      <w:szCs w:val="1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pPr>
        <w:spacing w:after="96.00000000000001" w:before="96.00000000000001" w:line="240" w:lineRule="auto"/>
      </w:pPr>
    </w:tblStylePr>
    <w:tblStylePr w:type="band2Horz">
      <w:pPr>
        <w:spacing w:after="96.00000000000001" w:before="96.00000000000001" w:line="240" w:lineRule="auto"/>
      </w:pPr>
      <w:tcPr>
        <w:shd w:fill="d9edeb" w:val="clear"/>
      </w:tcPr>
    </w:tblStylePr>
    <w:tblStylePr w:type="firstRow">
      <w:pPr>
        <w:spacing w:after="0" w:before="0" w:line="240" w:lineRule="auto"/>
        <w:jc w:val="left"/>
      </w:pPr>
      <w:rPr>
        <w:rFonts w:ascii="Century Schoolbook" w:cs="Century Schoolbook" w:eastAsia="Century Schoolbook" w:hAnsi="Century Schoolbook"/>
        <w:b w:val="1"/>
        <w:color w:val="ffffff"/>
        <w:sz w:val="18"/>
        <w:szCs w:val="18"/>
      </w:rPr>
      <w:tcPr>
        <w:shd w:fill="f5f5f5" w:val="clear"/>
      </w:tcPr>
    </w:tblStylePr>
    <w:tblStylePr w:type="lastRow">
      <w:pPr>
        <w:spacing w:after="96.00000000000001" w:before="96.00000000000001" w:lineRule="auto"/>
      </w:p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enturySchoolbook-italic.ttf"/><Relationship Id="rId10" Type="http://schemas.openxmlformats.org/officeDocument/2006/relationships/font" Target="fonts/CenturySchoolbook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CenturySchoolbook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CenturySchoolbook-regular.ttf"/><Relationship Id="rId14" Type="http://schemas.openxmlformats.org/officeDocument/2006/relationships/font" Target="fonts/NotoSansSymbols-bold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