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zr3s9w80um" w:id="0"/>
      <w:bookmarkEnd w:id="0"/>
      <w:r w:rsidDel="00000000" w:rsidR="00000000" w:rsidRPr="00000000">
        <w:rPr>
          <w:rtl w:val="0"/>
        </w:rPr>
        <w:t xml:space="preserve">Threat and Vulnerability Identification Template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655"/>
        <w:gridCol w:w="1730"/>
        <w:gridCol w:w="2105"/>
        <w:gridCol w:w="1595"/>
        <w:tblGridChange w:id="0">
          <w:tblGrid>
            <w:gridCol w:w="1235"/>
            <w:gridCol w:w="1655"/>
            <w:gridCol w:w="1730"/>
            <w:gridCol w:w="2105"/>
            <w:gridCol w:w="159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 Name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 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Associated Threats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Potential Vulnerabilities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 Notes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56qnu05d8nkn" w:id="1"/>
      <w:bookmarkEnd w:id="1"/>
      <w:r w:rsidDel="00000000" w:rsidR="00000000" w:rsidRPr="00000000">
        <w:rPr>
          <w:rtl w:val="0"/>
        </w:rPr>
        <w:t xml:space="preserve">Risk Criteria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below explains what each item in the Risk Assessment means.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1.2446238337857"/>
        <w:gridCol w:w="7314.2671871898365"/>
        <w:tblGridChange w:id="0">
          <w:tblGrid>
            <w:gridCol w:w="1711.2446238337857"/>
            <w:gridCol w:w="7314.267187189836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Detailed explanation of the scenario, what could go wrong, and why it matters.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Assets at Risk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 information, system, or service impacted (e.g. customer data, VDI environment).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Threat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Who or what could cause the risk (e.g., insider, cybercriminal, accident, malware). The action or event (e.g., data exfiltration, privilege misuse, physical theft).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Vulnerability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Weakness – the gap or condition that enables the threat (e.g., extended idle session, clipboard sharing).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Existing Controls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Current safeguards in place (e.g., MFA, logging, endpoint DLP).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Inherent Risk Rating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level before any mitigations are applied.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 Risk Rating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level after current controls are considered.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Likelihood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 probability of occurrence (e.g., Rare, Possible, Likely).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Consequence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 – level of damage if realised (e.g., Minor, Moderate, Major, Extreme).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Rating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 outcome of the risk likelihood and consequence evaluation.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Treatment Plan – actions to reduce, transfer, avoid, or accept the risk.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Owner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 or role accountable for managing the risk (e.g., the person who uses the software)  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cca443p5k2m" w:id="2"/>
      <w:bookmarkEnd w:id="2"/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u53t5a7vyf6u" w:id="3"/>
      <w:bookmarkEnd w:id="3"/>
      <w:r w:rsidDel="00000000" w:rsidR="00000000" w:rsidRPr="00000000">
        <w:rPr>
          <w:rtl w:val="0"/>
        </w:rPr>
        <w:t xml:space="preserve">1.Risk 1 — Customer Data Breach</w:t>
      </w:r>
    </w:p>
    <w:tbl>
      <w:tblPr>
        <w:tblStyle w:val="Table3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365"/>
        <w:gridCol w:w="1785"/>
        <w:gridCol w:w="1785"/>
        <w:tblGridChange w:id="0">
          <w:tblGrid>
            <w:gridCol w:w="1695"/>
            <w:gridCol w:w="1365"/>
            <w:gridCol w:w="1785"/>
            <w:gridCol w:w="178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Details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R001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Identified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2024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Title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E-commerce Customer Data Breach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 Date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Identification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Description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attacker could exploit a vulnerability in the e-commerce website or mobile application and gain unauthorised access to customer information.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Assets at Risk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personal information, purchase history, loyalty data, payment tokens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Threat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External cybercriminal / data theft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Vulnerability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Potential vulnerabilities in the custom-built website or mobile application; limited information is provided about application security controls.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Existing Controls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Firewalls, antivirus, RBAC, security awareness training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Inherent Risk Analysis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Consequence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Inherent Risk Rating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Possible (3)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 (4)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 Risk Analysis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Consequence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 Risk Rating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Unlikely (2)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 (4)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Treatment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Mitigations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Regular vulnerability scanning and penetration testing, secure coding practices, MFA for privileged access, encryption, and continuous monitoring.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Monitoring and Review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Owner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 of Cybersecurity / IT Security Manager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925"/>
        <w:tblGridChange w:id="0">
          <w:tblGrid>
            <w:gridCol w:w="950"/>
            <w:gridCol w:w="192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Person 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Bcc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3nxe6a3lepc3" w:id="4"/>
      <w:bookmarkEnd w:id="4"/>
      <w:r w:rsidDel="00000000" w:rsidR="00000000" w:rsidRPr="00000000">
        <w:rPr>
          <w:rtl w:val="0"/>
        </w:rPr>
        <w:t xml:space="preserve">2.Risk 2 — Phishing and Credential Compromise</w:t>
      </w:r>
    </w:p>
    <w:tbl>
      <w:tblPr>
        <w:tblStyle w:val="Table5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365"/>
        <w:gridCol w:w="1785"/>
        <w:gridCol w:w="1095"/>
        <w:tblGridChange w:id="0">
          <w:tblGrid>
            <w:gridCol w:w="1695"/>
            <w:gridCol w:w="1365"/>
            <w:gridCol w:w="1785"/>
            <w:gridCol w:w="109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Details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R002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Identified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2023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Title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Phishing and Account Compromise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 Date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Identification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Description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Employees could fall victim to phishing attacks, allowing attackers to obtain credentials and access internal systems or customer information.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Assets at Risk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 accounts, Salesforce, SAP, AWS, internal systems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Threat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Cybercriminal using phishing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Vulnerability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Employees remain susceptible to phishing despite basic security awareness training. The company has already experienced a credential compromise in 2023.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Existing Controls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 awareness training, RBAC, firewalls, antivirus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Inherent Risk Analysis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Consequence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Inherent Risk Rating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Likely (4)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 (4)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 Risk Analysis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Consequence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 Risk Rating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Possible (3)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 (4)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Treatment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Mitigations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MFA, phishing simulations, stronger email filtering, regular security awareness training, and monitoring for suspicious logins.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Monitoring and Review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Owner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Security Manager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925"/>
        <w:tblGridChange w:id="0">
          <w:tblGrid>
            <w:gridCol w:w="950"/>
            <w:gridCol w:w="192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Person 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Bcc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4b13nuz86jb6" w:id="5"/>
      <w:bookmarkEnd w:id="5"/>
      <w:r w:rsidDel="00000000" w:rsidR="00000000" w:rsidRPr="00000000">
        <w:rPr>
          <w:rtl w:val="0"/>
        </w:rPr>
        <w:t xml:space="preserve">3.Risk 3 — Third-Party Vendor Data Breach</w:t>
      </w:r>
    </w:p>
    <w:tbl>
      <w:tblPr>
        <w:tblStyle w:val="Table7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365"/>
        <w:gridCol w:w="1785"/>
        <w:gridCol w:w="1335"/>
        <w:tblGridChange w:id="0">
          <w:tblGrid>
            <w:gridCol w:w="1695"/>
            <w:gridCol w:w="1365"/>
            <w:gridCol w:w="1785"/>
            <w:gridCol w:w="133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Details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R003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Identified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2025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Title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Third-Party Data Breach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Review Date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Identification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Description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security incident affecting a third-party vendor could expose RetailNova customer information. This risk has already occurred, with a 2025 marketing vendor breach exposing 5,000 customer email addresses.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Assets at Risk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email addresses, personal information, loyalty and marketing data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Threat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Compromised third-party vendor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Vulnerability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Reliance on multiple third-party providers without sufficient information about their security controls.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Existing Controls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Vendor relationships, basic security controls, firewalls and antivirus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Inherent Risk Analysis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Consequence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Inherent Risk Rating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Likely (4)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 (4)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 Risk Analysis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Consequence</w:t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Residual Risk Rating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Possible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Major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shd w:fill="fcfcfc" w:val="clear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Treatment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Mitigations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Conduct regular third-party security assessments, establish security requirements in vendor contracts, minimise shared data, monitor vendors, and require breach notification procedures.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Monitoring and Review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Owner </w:t>
            </w:r>
          </w:p>
        </w:tc>
        <w:tc>
          <w:tcPr>
            <w:gridSpan w:val="3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Risk Manager / Head of Cybersecurity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925"/>
        <w:tblGridChange w:id="0">
          <w:tblGrid>
            <w:gridCol w:w="950"/>
            <w:gridCol w:w="192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 Person 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Bcc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k5fge62uaxvl" w:id="6"/>
      <w:bookmarkEnd w:id="6"/>
      <w:r w:rsidDel="00000000" w:rsidR="00000000" w:rsidRPr="00000000">
        <w:rPr>
          <w:rtl w:val="0"/>
        </w:rPr>
        <w:t xml:space="preserve">Cybersecurity Risk Prioritisations Matrix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t1porrf8hqfa" w:id="7"/>
      <w:bookmarkEnd w:id="7"/>
      <w:r w:rsidDel="00000000" w:rsidR="00000000" w:rsidRPr="00000000">
        <w:rPr>
          <w:rtl w:val="0"/>
        </w:rPr>
        <w:t xml:space="preserve">Understanding the Likelihood Rating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table below provides the categories and ratings for likelihood: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.4277160486317"/>
        <w:gridCol w:w="2404.0131923231393"/>
        <w:gridCol w:w="5166.0709026518525"/>
        <w:tblGridChange w:id="0">
          <w:tblGrid>
            <w:gridCol w:w="1455.4277160486317"/>
            <w:gridCol w:w="2404.0131923231393"/>
            <w:gridCol w:w="5166.07090265185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Likelihood Ratings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Rare (1)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Exceptional circumstances only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May occur only in very unusual situations 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Unlikely (2)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Possible, but not expected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happen but not typical; requires specific conditions (e.g. targeted phishing bypassing all filters).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Possible (3)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Might occur at some point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 occurred in similar organisations; realistic but not frequent (e.g. ransomware attempt on enterprise endpoint).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Likely (4)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Will probably occur in most circumstances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Expected to happen periodically (e.g. phishing emails, credential stuffing attempts).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Almost Certain (5)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Expected to occur frequently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 occurred multiple times, highly predictable (e.g. malware probes, daily scanning activity).</w:t>
            </w:r>
          </w:p>
        </w:tc>
      </w:tr>
    </w:tbl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613x4ye8poy8" w:id="8"/>
      <w:bookmarkEnd w:id="8"/>
      <w:r w:rsidDel="00000000" w:rsidR="00000000" w:rsidRPr="00000000">
        <w:rPr>
          <w:rtl w:val="0"/>
        </w:rPr>
        <w:t xml:space="preserve">Understanding the Consequence Ratings Table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table below provides the categories and ratings for impacts: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8.8947214931468"/>
        <w:gridCol w:w="1411.3969087197436"/>
        <w:gridCol w:w="6105.220180810733"/>
        <w:tblGridChange w:id="0">
          <w:tblGrid>
            <w:gridCol w:w="1508.8947214931468"/>
            <w:gridCol w:w="1411.3969087197436"/>
            <w:gridCol w:w="6105.22018081073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Consequence Rating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100" w:before="10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Insignificant (1)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Negligible impact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compromise of sensitive data, no disruption, minimal financial or reputational impact.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Minor (2)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Small impact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operational disruption; minimal data exposure (non-sensitive data); easily contained.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Moderate (3)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Noticeable impact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Partial service disruption; limited sensitive data exposure; moderate cost or compliance breach.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Major (4)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Severe impact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Significant outage of critical systems; large-scale sensitive data breach; regulatory non-compliance with penalties.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Extreme (5)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Catastrophic impact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Extended enterprise-wide outage; compromise of PROTECTED/SECRET data; severe financial/reputational damage; possible criminal or regulatory prosecution.</w:t>
            </w:r>
          </w:p>
        </w:tc>
      </w:tr>
    </w:tbl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360189h5kmwp" w:id="9"/>
      <w:bookmarkEnd w:id="9"/>
      <w:r w:rsidDel="00000000" w:rsidR="00000000" w:rsidRPr="00000000">
        <w:rPr>
          <w:rtl w:val="0"/>
        </w:rPr>
        <w:t xml:space="preserve">The 5x5 Risk Matrix 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this 5x5 risk matrix to evaluate and prioritise cybersecurity risks. For each identified risk, assess its likelihood (1 = Rare, 5 = Almost Certain) and impact (1 = Insignificant, 5 = Critical). Plot the risk in the matrix and use the result to guide mitigation priorities.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