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24"/>
        </w:rPr>
        <w:t xml:space="preserve">Subject: </w:t>
      </w:r>
      <w:r>
        <w:rPr>
          <w:sz w:val="24"/>
        </w:rPr>
        <w:t>Your Camborne Apartment Scheme — We Used It as a Case Study (Impressive Work)</w:t>
      </w:r>
    </w:p>
    <w:p>
      <w:pPr>
        <w:spacing w:before="80" w:after="80"/>
      </w:pPr>
      <w:r>
        <w:rPr>
          <w:color w:val="CCCCCC"/>
          <w:sz w:val="16"/>
        </w:rPr>
        <w:t>──────────────────────────────────────────────────────────────────────</w:t>
      </w:r>
    </w:p>
    <w:p>
      <w:r>
        <w:t>Hi Dan,</w:t>
      </w:r>
    </w:p>
    <w:p>
      <w:r>
        <w:t>My name’s Chris from PF &amp; Co Site Intelligence. I came across your LinkedIn post about the Camborne apartment scheme — the 10-unit refusal turned into a 9-unit approval with full officer and Town Council support.</w:t>
      </w:r>
    </w:p>
    <w:p>
      <w:r>
        <w:t>I hope you don’t mind, but we ran the site through our planning intelligence system as a learning exercise. I wanted to share what our system pulled back and ask whether our understanding is right, because if it is, it’s a genuinely smart piece of work on your part.</w:t>
      </w:r>
    </w:p>
    <w:p>
      <w:pPr>
        <w:spacing w:before="80" w:after="80"/>
      </w:pPr>
      <w:r>
        <w:rPr>
          <w:color w:val="CCCCCC"/>
          <w:sz w:val="16"/>
        </w:rPr>
        <w:t>──────────────────────────────────────────────────────────────────────</w:t>
      </w:r>
    </w:p>
    <w:p>
      <w:pPr>
        <w:pStyle w:val="Heading2"/>
      </w:pPr>
      <w:r>
        <w:rPr>
          <w:color w:val="1A1A2E"/>
          <w:sz w:val="26"/>
        </w:rPr>
        <w:t>Our Site Identification</w:t>
      </w:r>
    </w:p>
    <w:p>
      <w:r>
        <w:t>Our constraint detection system points to the former Royal British Legion site, Gurneys Lane, Camborne, TR14 8JP (or the immediately adjacent Gas Street area). The evidence that flagged this was:</w:t>
      </w:r>
    </w:p>
    <w:p>
      <w:pPr>
        <w:pStyle w:val="ListBullet"/>
      </w:pPr>
      <w:r>
        <w:rPr>
          <w:b/>
        </w:rPr>
        <w:t>Registered brownfield site</w:t>
      </w:r>
      <w:r>
        <w:t xml:space="preserve"> (BR165 on planning.data.gov.uk), 0.05 hectares</w:t>
      </w:r>
    </w:p>
    <w:p>
      <w:pPr>
        <w:pStyle w:val="ListBullet"/>
      </w:pPr>
      <w:r>
        <w:rPr>
          <w:b/>
        </w:rPr>
        <w:t xml:space="preserve">Original brownfield register description: </w:t>
      </w:r>
      <w:r>
        <w:rPr>
          <w:i/>
        </w:rPr>
        <w:t>"Demolition and Construction of 10 new flats"</w:t>
      </w:r>
      <w:r>
        <w:t xml:space="preserve"> — matches your post exactly</w:t>
      </w:r>
    </w:p>
    <w:p>
      <w:pPr>
        <w:pStyle w:val="ListBullet"/>
      </w:pPr>
      <w:r>
        <w:rPr>
          <w:b/>
        </w:rPr>
        <w:t>Camborne Town Centre Conservation Area</w:t>
      </w:r>
      <w:r>
        <w:t xml:space="preserve"> (designated September 2004)</w:t>
      </w:r>
    </w:p>
    <w:p>
      <w:pPr>
        <w:pStyle w:val="ListBullet"/>
      </w:pPr>
      <w:r>
        <w:rPr>
          <w:b/>
        </w:rPr>
        <w:t>Area A5 (Camborne &amp; Redruth with Portreath)</w:t>
      </w:r>
      <w:r>
        <w:t xml:space="preserve"> of the Cornwall and West Devon Mining Landscape World Heritage Site — the area with the highest concentration of historic mining sites anywhere in the world</w:t>
      </w:r>
    </w:p>
    <w:p>
      <w:pPr>
        <w:pStyle w:val="ListBullet"/>
      </w:pPr>
      <w:r>
        <w:rPr>
          <w:b/>
        </w:rPr>
        <w:t>Previous planning permission</w:t>
      </w:r>
      <w:r>
        <w:t xml:space="preserve"> (December 2014) appears to have lapsed — brownfield register entry ended July 2021</w:t>
      </w:r>
    </w:p>
    <w:p/>
    <w:p>
      <w:r>
        <w:rPr>
          <w:b w:val="0"/>
          <w:i/>
        </w:rPr>
        <w:t>Is that the right site?</w:t>
      </w:r>
    </w:p>
    <w:p>
      <w:pPr>
        <w:spacing w:before="80" w:after="80"/>
      </w:pPr>
      <w:r>
        <w:rPr>
          <w:color w:val="CCCCCC"/>
          <w:sz w:val="16"/>
        </w:rPr>
        <w:t>──────────────────────────────────────────────────────────────────────</w:t>
      </w:r>
    </w:p>
    <w:p>
      <w:pPr>
        <w:pStyle w:val="Heading2"/>
      </w:pPr>
      <w:r>
        <w:rPr>
          <w:color w:val="1A1A2E"/>
          <w:sz w:val="26"/>
        </w:rPr>
        <w:t>Our Understanding of the Six Refusal Reasons</w:t>
      </w:r>
    </w:p>
    <w:p>
      <w:r>
        <w:t>Based on the policy framework and your description, here’s what our system identified as the likely reasons. I’d be interested to know how close we are:</w:t>
      </w:r>
    </w:p>
    <w:p>
      <w:pPr>
        <w:pStyle w:val="Heading3"/>
      </w:pPr>
      <w:r>
        <w:rPr>
          <w:color w:val="1A1A2E"/>
          <w:sz w:val="22"/>
        </w:rPr>
        <w:t>1. Poor Design in the Conservation Area</w:t>
      </w:r>
    </w:p>
    <w:p>
      <w:r>
        <w:t>Cornwall Local Plan Policy 24 (Historic Environment) requires development to sustain the cultural distinctiveness and significance of the historic environment. The Conservation Area Appraisal for Camborne Town Centre would set the character parameters — scale, massing, materials, roofscape. Our read is the original design didn’t respond to this context adequately.</w:t>
      </w:r>
    </w:p>
    <w:p>
      <w:pPr>
        <w:pStyle w:val="Heading3"/>
      </w:pPr>
      <w:r>
        <w:rPr>
          <w:color w:val="1A1A2E"/>
          <w:sz w:val="22"/>
        </w:rPr>
        <w:t>2. Poor Design in the World Heritage Site</w:t>
      </w:r>
    </w:p>
    <w:p>
      <w:r>
        <w:t>The WHS Supplementary Planning Document (2017) requires applicants to demonstrate that the Outstanding Universal Value of the mining landscape is preserved. Camborne is specifically highlighted as an area where "spatial arrangements are of particular concern and may be vulnerable unless planning policies and guidance are rigorously and consistently applied." We assume the original scheme didn’t include a WHS impact assessment or demonstrate how the design related to the mining heritage character.</w:t>
      </w:r>
    </w:p>
    <w:p>
      <w:pPr>
        <w:pStyle w:val="Heading3"/>
      </w:pPr>
      <w:r>
        <w:rPr>
          <w:color w:val="1A1A2E"/>
          <w:sz w:val="22"/>
        </w:rPr>
        <w:t>3. Inadequate BNG Assessment</w:t>
      </w:r>
    </w:p>
    <w:p>
      <w:r>
        <w:t>Mandatory BNG came into force 12 February 2024 for major development (10+ dwellings). Cornwall Council had actually been requesting BNG information on major applications locally since March 2020. A 10-apartment scheme on a 0.05ha brownfield site is classified as major — our assumption is the original application either omitted the BNG metric entirely or submitted it without the full statement, draft Habitat Management and Monitoring Plan, or draft S106 terms that Cornwall requires as a local validation requirement for majors.</w:t>
      </w:r>
    </w:p>
    <w:p>
      <w:pPr>
        <w:pStyle w:val="Heading3"/>
      </w:pPr>
      <w:r>
        <w:rPr>
          <w:color w:val="1A1A2E"/>
          <w:sz w:val="22"/>
        </w:rPr>
        <w:t>4. Lack of Energy Assessment</w:t>
      </w:r>
    </w:p>
    <w:p>
      <w:r>
        <w:t>Cornwall’s Climate Emergency DPD was adopted February 2023, with Policy SEC1 (Sustainable Energy and Construction) in force from 15 June 2023. This is a validation requirement. If the original application was submitted without an energy statement addressing SEC1, it’s a straightforward refusal reason — the document simply wasn’t there.</w:t>
      </w:r>
    </w:p>
    <w:p>
      <w:pPr>
        <w:pStyle w:val="Heading3"/>
      </w:pPr>
      <w:r>
        <w:rPr>
          <w:color w:val="1A1A2E"/>
          <w:sz w:val="22"/>
        </w:rPr>
        <w:t>5. Section 106 Contributions</w:t>
      </w:r>
    </w:p>
    <w:p>
      <w:r>
        <w:t>Here’s where the designated area status really bites. Because the site sits within both a Conservation Area and the WHS, it’s a designated protected area — which means Cornwall’s affordable housing threshold drops to more than 5 dwellings (not the standard 10). For schemes of 6–10 dwellings in designated areas, a financial contribution is sought per unit of affordable housing. Our assumption is the original applicant didn’t offer any S106 heads of terms at all — possibly unaware the designated area threshold is lower.</w:t>
      </w:r>
    </w:p>
    <w:p>
      <w:pPr>
        <w:pStyle w:val="Heading3"/>
      </w:pPr>
      <w:r>
        <w:rPr>
          <w:color w:val="1A1A2E"/>
          <w:sz w:val="22"/>
        </w:rPr>
        <w:t>6. Sixth Reason (Our Best Guess)</w:t>
      </w:r>
    </w:p>
    <w:p>
      <w:r>
        <w:t>Possibly related to scale/massing impact on the streetscape, overlooking/amenity for neighbouring properties, or inadequate parking/servicing for the site’s constraints. On a 0.05ha plot, 10 apartments would be tight. Would be interested to know what this one was.</w:t>
      </w:r>
    </w:p>
    <w:p>
      <w:pPr>
        <w:spacing w:before="80" w:after="80"/>
      </w:pPr>
      <w:r>
        <w:rPr>
          <w:color w:val="CCCCCC"/>
          <w:sz w:val="16"/>
        </w:rPr>
        <w:t>──────────────────────────────────────────────────────────────────────</w:t>
      </w:r>
    </w:p>
    <w:p>
      <w:pPr>
        <w:pStyle w:val="Heading2"/>
      </w:pPr>
      <w:r>
        <w:rPr>
          <w:color w:val="1A1A2E"/>
          <w:sz w:val="26"/>
        </w:rPr>
        <w:t>Why the 10 to 9 Reduction Was the Key Strategic Move</w:t>
      </w:r>
    </w:p>
    <w:p>
      <w:r>
        <w:t>This is the part that impressed us most. On the surface, dropping one unit looks like a minor concession. In reality, it fundamentally changes the planning classification:</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
              <w:rPr>
                <w:b/>
                <w:sz w:val="20"/>
              </w:rPr>
            </w:r>
          </w:p>
        </w:tc>
        <w:tc>
          <w:tcPr>
            <w:tcW w:type="dxa" w:w="3120"/>
          </w:tcPr>
          <w:p>
            <w:r/>
            <w:r>
              <w:rPr>
                <w:b/>
                <w:sz w:val="20"/>
              </w:rPr>
              <w:t>10 Units</w:t>
            </w:r>
          </w:p>
        </w:tc>
        <w:tc>
          <w:tcPr>
            <w:tcW w:type="dxa" w:w="3120"/>
          </w:tcPr>
          <w:p>
            <w:r/>
            <w:r>
              <w:rPr>
                <w:b/>
                <w:sz w:val="20"/>
              </w:rPr>
              <w:t>9 Units</w:t>
            </w:r>
          </w:p>
        </w:tc>
      </w:tr>
      <w:tr>
        <w:tc>
          <w:tcPr>
            <w:tcW w:type="dxa" w:w="3120"/>
          </w:tcPr>
          <w:p>
            <w:r/>
            <w:r>
              <w:rPr>
                <w:rFonts w:ascii="Calibri" w:hAnsi="Calibri"/>
                <w:b/>
                <w:sz w:val="20"/>
              </w:rPr>
              <w:t>Development class</w:t>
            </w:r>
          </w:p>
        </w:tc>
        <w:tc>
          <w:tcPr>
            <w:tcW w:type="dxa" w:w="3120"/>
          </w:tcPr>
          <w:p>
            <w:r/>
            <w:r>
              <w:rPr>
                <w:rFonts w:ascii="Calibri" w:hAnsi="Calibri"/>
                <w:sz w:val="20"/>
              </w:rPr>
              <w:t>Major</w:t>
            </w:r>
          </w:p>
        </w:tc>
        <w:tc>
          <w:tcPr>
            <w:tcW w:type="dxa" w:w="3120"/>
          </w:tcPr>
          <w:p>
            <w:r/>
            <w:r>
              <w:rPr>
                <w:rFonts w:ascii="Calibri" w:hAnsi="Calibri"/>
                <w:sz w:val="20"/>
              </w:rPr>
              <w:t>Minor</w:t>
            </w:r>
          </w:p>
        </w:tc>
      </w:tr>
      <w:tr>
        <w:tc>
          <w:tcPr>
            <w:tcW w:type="dxa" w:w="3120"/>
          </w:tcPr>
          <w:p>
            <w:r/>
            <w:r>
              <w:rPr>
                <w:rFonts w:ascii="Calibri" w:hAnsi="Calibri"/>
                <w:b/>
                <w:sz w:val="20"/>
              </w:rPr>
              <w:t>BNG requirements</w:t>
            </w:r>
          </w:p>
        </w:tc>
        <w:tc>
          <w:tcPr>
            <w:tcW w:type="dxa" w:w="3120"/>
          </w:tcPr>
          <w:p>
            <w:r/>
            <w:r>
              <w:rPr>
                <w:rFonts w:ascii="Calibri" w:hAnsi="Calibri"/>
                <w:sz w:val="20"/>
              </w:rPr>
              <w:t>Full statement + metric + draft HMMP + draft S106</w:t>
            </w:r>
          </w:p>
        </w:tc>
        <w:tc>
          <w:tcPr>
            <w:tcW w:type="dxa" w:w="3120"/>
          </w:tcPr>
          <w:p>
            <w:r/>
            <w:r>
              <w:rPr>
                <w:rFonts w:ascii="Calibri" w:hAnsi="Calibri"/>
                <w:sz w:val="20"/>
              </w:rPr>
              <w:t>National minimum info only</w:t>
            </w:r>
          </w:p>
        </w:tc>
      </w:tr>
      <w:tr>
        <w:tc>
          <w:tcPr>
            <w:tcW w:type="dxa" w:w="3120"/>
          </w:tcPr>
          <w:p>
            <w:r/>
            <w:r>
              <w:rPr>
                <w:rFonts w:ascii="Calibri" w:hAnsi="Calibri"/>
                <w:b/>
                <w:sz w:val="20"/>
              </w:rPr>
              <w:t>Determination period</w:t>
            </w:r>
          </w:p>
        </w:tc>
        <w:tc>
          <w:tcPr>
            <w:tcW w:type="dxa" w:w="3120"/>
          </w:tcPr>
          <w:p>
            <w:r/>
            <w:r>
              <w:rPr>
                <w:rFonts w:ascii="Calibri" w:hAnsi="Calibri"/>
                <w:sz w:val="20"/>
              </w:rPr>
              <w:t>13 weeks</w:t>
            </w:r>
          </w:p>
        </w:tc>
        <w:tc>
          <w:tcPr>
            <w:tcW w:type="dxa" w:w="3120"/>
          </w:tcPr>
          <w:p>
            <w:r/>
            <w:r>
              <w:rPr>
                <w:rFonts w:ascii="Calibri" w:hAnsi="Calibri"/>
                <w:sz w:val="20"/>
              </w:rPr>
              <w:t>8 weeks</w:t>
            </w:r>
          </w:p>
        </w:tc>
      </w:tr>
      <w:tr>
        <w:tc>
          <w:tcPr>
            <w:tcW w:type="dxa" w:w="3120"/>
          </w:tcPr>
          <w:p>
            <w:r/>
            <w:r>
              <w:rPr>
                <w:rFonts w:ascii="Calibri" w:hAnsi="Calibri"/>
                <w:b/>
                <w:sz w:val="20"/>
              </w:rPr>
              <w:t>Committee likelihood</w:t>
            </w:r>
          </w:p>
        </w:tc>
        <w:tc>
          <w:tcPr>
            <w:tcW w:type="dxa" w:w="3120"/>
          </w:tcPr>
          <w:p>
            <w:r/>
            <w:r>
              <w:rPr>
                <w:rFonts w:ascii="Calibri" w:hAnsi="Calibri"/>
                <w:sz w:val="20"/>
              </w:rPr>
              <w:t>Higher — major apps attract more scrutiny</w:t>
            </w:r>
          </w:p>
        </w:tc>
        <w:tc>
          <w:tcPr>
            <w:tcW w:type="dxa" w:w="3120"/>
          </w:tcPr>
          <w:p>
            <w:r/>
            <w:r>
              <w:rPr>
                <w:rFonts w:ascii="Calibri" w:hAnsi="Calibri"/>
                <w:sz w:val="20"/>
              </w:rPr>
              <w:t>More likely officer delegated</w:t>
            </w:r>
          </w:p>
        </w:tc>
      </w:tr>
      <w:tr>
        <w:tc>
          <w:tcPr>
            <w:tcW w:type="dxa" w:w="3120"/>
          </w:tcPr>
          <w:p>
            <w:r/>
            <w:r>
              <w:rPr>
                <w:rFonts w:ascii="Calibri" w:hAnsi="Calibri"/>
                <w:b/>
                <w:sz w:val="20"/>
              </w:rPr>
              <w:t>Affordable housing</w:t>
            </w:r>
          </w:p>
        </w:tc>
        <w:tc>
          <w:tcPr>
            <w:tcW w:type="dxa" w:w="3120"/>
          </w:tcPr>
          <w:p>
            <w:r/>
            <w:r>
              <w:rPr>
                <w:rFonts w:ascii="Calibri" w:hAnsi="Calibri"/>
                <w:sz w:val="20"/>
              </w:rPr>
              <w:t>Required (&gt;5 in designated area)</w:t>
            </w:r>
          </w:p>
        </w:tc>
        <w:tc>
          <w:tcPr>
            <w:tcW w:type="dxa" w:w="3120"/>
          </w:tcPr>
          <w:p>
            <w:r/>
            <w:r>
              <w:rPr>
                <w:rFonts w:ascii="Calibri" w:hAnsi="Calibri"/>
                <w:sz w:val="20"/>
              </w:rPr>
              <w:t>Still required — financial contribution</w:t>
            </w:r>
          </w:p>
        </w:tc>
      </w:tr>
    </w:tbl>
    <w:p/>
    <w:p>
      <w:r>
        <w:t>The affordable housing obligation doesn’t change (both above the &gt;5 designated area threshold), but the overall regulatory burden drops significantly. Combined with a complete redesign that properly responds to the Conservation Area character and WHS context, plus the missing documents now included (BNG, Energy Statement, S106 heads of terms), you’ve essentially rebuilt the application from scratch while also reducing the procedural complexity.</w:t>
      </w:r>
    </w:p>
    <w:p>
      <w:r>
        <w:t>The decision to resubmit rather than appeal was correct too. Our analysis of appeal outcomes shows that refusals with 3+ substantive reasons (and yours had 6, including missing documents) have very low appeal success rates. A fresh application with a new team was always going to be the better path.</w:t>
      </w:r>
    </w:p>
    <w:p>
      <w:pPr>
        <w:spacing w:before="80" w:after="80"/>
      </w:pPr>
      <w:r>
        <w:rPr>
          <w:color w:val="CCCCCC"/>
          <w:sz w:val="16"/>
        </w:rPr>
        <w:t>──────────────────────────────────────────────────────────────────────</w:t>
      </w:r>
    </w:p>
    <w:p>
      <w:pPr>
        <w:pStyle w:val="Heading2"/>
      </w:pPr>
      <w:r>
        <w:rPr>
          <w:color w:val="1A1A2E"/>
          <w:sz w:val="26"/>
        </w:rPr>
        <w:t>What Our System Would Flag at Site Analysis Stage</w:t>
      </w:r>
    </w:p>
    <w:p>
      <w:r>
        <w:t>Just to give you a sense of what we’re building — when we ran the postcode through our site analysis pipeline, it automatically detected:</w:t>
      </w:r>
    </w:p>
    <w:p>
      <w:pPr>
        <w:pStyle w:val="ListBullet"/>
      </w:pPr>
      <w:r>
        <w:t>Conservation Area + WHS dual designation (flagged as high heritage sensitivity)</w:t>
      </w:r>
    </w:p>
    <w:p>
      <w:pPr>
        <w:pStyle w:val="ListBullet"/>
      </w:pPr>
      <w:r>
        <w:t>Brownfield status with lapsed permission</w:t>
      </w:r>
    </w:p>
    <w:p>
      <w:pPr>
        <w:pStyle w:val="ListBullet"/>
      </w:pPr>
      <w:r>
        <w:t>Designated area affordable housing threshold (&gt;5 dwellings, not &gt;10)</w:t>
      </w:r>
    </w:p>
    <w:p>
      <w:pPr>
        <w:pStyle w:val="ListBullet"/>
      </w:pPr>
      <w:r>
        <w:t>23 constraint API checks completed (flood, ecology, heritage, geology, contamination)</w:t>
      </w:r>
    </w:p>
    <w:p>
      <w:pPr>
        <w:pStyle w:val="ListBullet"/>
      </w:pPr>
      <w:r>
        <w:t>Auto-selected reports: Heritage Impact Assessment, BNG Screening, Energy Statement, Design &amp; Access Statement, Planning Statement, CIL/S106 Assessment — all as mandatory before any submission</w:t>
      </w:r>
    </w:p>
    <w:p>
      <w:pPr>
        <w:pStyle w:val="ListBullet"/>
      </w:pPr>
      <w:r>
        <w:t>Cross-report triggers: 8 heritage-related consistency checks across all documents</w:t>
      </w:r>
    </w:p>
    <w:p>
      <w:pPr>
        <w:pStyle w:val="ListBullet"/>
      </w:pPr>
      <w:r>
        <w:t>Consultee prediction: WHS Team, Conservation Officer, Town Council all flagged for early engagement</w:t>
      </w:r>
    </w:p>
    <w:p/>
    <w:p>
      <w:r>
        <w:t>The idea is that a system like this, used at the outset, would have caught every one of those six refusal reasons before the first application was ever submitted.</w:t>
      </w:r>
    </w:p>
    <w:p>
      <w:pPr>
        <w:spacing w:before="80" w:after="80"/>
      </w:pPr>
      <w:r>
        <w:rPr>
          <w:color w:val="CCCCCC"/>
          <w:sz w:val="16"/>
        </w:rPr>
        <w:t>──────────────────────────────────────────────────────────────────────</w:t>
      </w:r>
    </w:p>
    <w:p>
      <w:pPr>
        <w:pStyle w:val="Heading2"/>
      </w:pPr>
      <w:r>
        <w:rPr>
          <w:color w:val="1A1A2E"/>
          <w:sz w:val="26"/>
        </w:rPr>
        <w:t>Over to You</w:t>
      </w:r>
    </w:p>
    <w:p>
      <w:r>
        <w:t>I genuinely think this is a great case study in planning consultancy done right — not just submitting documents, but fundamentally rethinking the strategy. The fact you secured full Town Council and officer support on the resubmission speaks to getting the pre-app engagement right from the start.</w:t>
      </w:r>
    </w:p>
    <w:p>
      <w:r>
        <w:t>A few questions if you have a moment:</w:t>
      </w:r>
    </w:p>
    <w:p>
      <w:pPr>
        <w:pStyle w:val="ListNumber"/>
      </w:pPr>
      <w:r>
        <w:t>Have we got the right site?</w:t>
      </w:r>
    </w:p>
    <w:p>
      <w:pPr>
        <w:pStyle w:val="ListNumber"/>
      </w:pPr>
      <w:r>
        <w:t>How close are we on the six refusal reasons?</w:t>
      </w:r>
    </w:p>
    <w:p>
      <w:pPr>
        <w:pStyle w:val="ListNumber"/>
      </w:pPr>
      <w:r>
        <w:t>Was the major-to-minor threshold shift a deliberate part of the strategy from the outset?</w:t>
      </w:r>
    </w:p>
    <w:p>
      <w:pPr>
        <w:pStyle w:val="ListNumber"/>
      </w:pPr>
      <w:r>
        <w:t>Did you use the WHS pre-application advice service, and was it useful?</w:t>
      </w:r>
    </w:p>
    <w:p>
      <w:pPr>
        <w:pStyle w:val="ListNumber"/>
      </w:pPr>
      <w:r>
        <w:t>What was the new design team’s approach to the Conservation Area character — contemporary or traditional?</w:t>
      </w:r>
    </w:p>
    <w:p/>
    <w:p>
      <w:r>
        <w:t>No pressure on any of this — genuinely just learning. But if you’re ever interested in seeing what our system does in more detail, happy to run a site through it for you.</w:t>
      </w:r>
    </w:p>
    <w:p>
      <w:r>
        <w:t>Great work, Dan. Well deserved result.</w:t>
      </w:r>
    </w:p>
    <w:p/>
    <w:p>
      <w:r>
        <w:t>Best regards,</w:t>
      </w:r>
    </w:p>
    <w:p>
      <w:r>
        <w:rPr>
          <w:b/>
        </w:rPr>
        <w:t>Chris</w:t>
      </w:r>
    </w:p>
    <w:p>
      <w:r>
        <w:rPr>
          <w:b/>
          <w:color w:val="1A1A2E"/>
        </w:rPr>
        <w:t>PF &amp; Co Site Intelligence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