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24"/>
        </w:rPr>
        <w:t xml:space="preserve">Subject: </w:t>
      </w:r>
      <w:r>
        <w:rPr>
          <w:sz w:val="24"/>
        </w:rPr>
        <w:t>Bobtails, Mawgan Porth — Fascinating Project (Academic Interest)</w:t>
      </w:r>
    </w:p>
    <w:p>
      <w:pPr>
        <w:spacing w:before="80" w:after="80"/>
      </w:pPr>
      <w:r>
        <w:rPr>
          <w:color w:val="CCCCCC"/>
          <w:sz w:val="16"/>
        </w:rPr>
        <w:t>──────────────────────────────────────────────────────────────────────</w:t>
      </w:r>
    </w:p>
    <w:p>
      <w:r>
        <w:t>Hi Marzouk,</w:t>
      </w:r>
    </w:p>
    <w:p>
      <w:r>
        <w:t>My name’s Chris from PF &amp; Co Site Intelligence. I hope you don’t mind the cold email — your Bobtails project at Trenance came across us via a LinkedIn post by Sara de Barros discussing the recent landscaping application, and we ended up going down quite the rabbit hole.</w:t>
      </w:r>
    </w:p>
    <w:p>
      <w:r>
        <w:t>We’re building an AI-powered planning intelligence system and we’ve been using real-world applications as learning exercises to stress-test our constraint detection and QA processes. Bobtails turned out to be one of the most interesting case studies we’ve looked at.</w:t>
      </w:r>
    </w:p>
    <w:p>
      <w:pPr>
        <w:spacing w:before="80" w:after="80"/>
      </w:pPr>
      <w:r>
        <w:rPr>
          <w:color w:val="CCCCCC"/>
          <w:sz w:val="16"/>
        </w:rPr>
        <w:t>──────────────────────────────────────────────────────────────────────</w:t>
      </w:r>
    </w:p>
    <w:p>
      <w:pPr>
        <w:pStyle w:val="Heading2"/>
      </w:pPr>
      <w:r>
        <w:rPr>
          <w:color w:val="1A1A2E"/>
          <w:sz w:val="26"/>
        </w:rPr>
        <w:t>The Property History</w:t>
      </w:r>
    </w:p>
    <w:p>
      <w:r>
        <w:t>Before anything else — what a site. We dug into the backstory and it’s a genuinely compelling piece of Cornwall’s recent architectural history. The journey from original cottage through to the replacement eco-home you’ve designed is exactly the kind of sensitive coastal work that’s hard to get right. The approach of working with the landscape rather than against it — the living roofs, locally sourced Cornish stone and timber, the low-energy design philosophy — is clear even from the outside.</w:t>
      </w:r>
    </w:p>
    <w:p>
      <w:r>
        <w:t>We also noticed that several newspapers have attributed a connection to Sir Arthur Conan Doyle and Tom Baker to the Mawgan Porth cottage. We actually traced this back and it appears to be a case of journalists mixing up two properties — the Conan Doyle and Tom Baker stories relate to Highwell House in Crowborough, East Sussex, not Bobtails. The Conan Doyle Encyclopedia lists no Cornwall residences. Bit of an unexpected detour but quite satisfying to untangle!</w:t>
      </w:r>
    </w:p>
    <w:p>
      <w:pPr>
        <w:spacing w:before="80" w:after="80"/>
      </w:pPr>
      <w:r>
        <w:rPr>
          <w:color w:val="CCCCCC"/>
          <w:sz w:val="16"/>
        </w:rPr>
        <w:t>──────────────────────────────────────────────────────────────────────</w:t>
      </w:r>
    </w:p>
    <w:p>
      <w:pPr>
        <w:pStyle w:val="Heading2"/>
      </w:pPr>
      <w:r>
        <w:rPr>
          <w:color w:val="1A1A2E"/>
          <w:sz w:val="26"/>
        </w:rPr>
        <w:t>The Design</w:t>
      </w:r>
    </w:p>
    <w:p>
      <w:r>
        <w:t>The replacement dwelling is a genuinely impressive piece of work. Achieving planning consent for a contemporary eco-home on an exposed clifftop site within the Lanherne and Watergate AGLV, adjacent to the South West Coast Path, and with the level of public interest that Mawgan Porth attracts — that’s not straightforward. The fact that it secured approval through PA21/12699 with what was clearly a thorough pre-application process speaks to the quality of the design response.</w:t>
      </w:r>
    </w:p>
    <w:p>
      <w:pPr>
        <w:spacing w:before="80" w:after="80"/>
      </w:pPr>
      <w:r>
        <w:rPr>
          <w:color w:val="CCCCCC"/>
          <w:sz w:val="16"/>
        </w:rPr>
        <w:t>──────────────────────────────────────────────────────────────────────</w:t>
      </w:r>
    </w:p>
    <w:p>
      <w:pPr>
        <w:pStyle w:val="Heading2"/>
      </w:pPr>
      <w:r>
        <w:rPr>
          <w:color w:val="1A1A2E"/>
          <w:sz w:val="26"/>
        </w:rPr>
        <w:t>A Few Things Our System Flagged</w:t>
      </w:r>
    </w:p>
    <w:p>
      <w:r>
        <w:t>When we ran the site and the latest landscaping application through our system purely as a learning exercise, a handful of things came back that we found genuinely interesting. Not as criticisms at all — more that they raised questions we’d love to understand the thinking behind.</w:t>
      </w:r>
    </w:p>
    <w:p>
      <w:pPr>
        <w:pStyle w:val="Heading3"/>
      </w:pPr>
      <w:r>
        <w:rPr>
          <w:color w:val="1A1A2E"/>
          <w:sz w:val="22"/>
        </w:rPr>
        <w:t>Native Planting Ratio</w:t>
      </w:r>
    </w:p>
    <w:p>
      <w:r>
        <w:t>Our system flagged that the planting schedule appears to be predominantly non-native (Olearia traversii, Ampelodesmos mauritanicus, Muehlenbeckia, Phillyrea latifolia, Lonicera alseuosmoides) with sea thrift as the main confirmed native species. Cornwall’s Climate Emergency DPD sets a benchmark of at least 50% pollinator-friendly planting of predominantly native species. We’re curious whether this has come up in discussions with the council, or whether there’s a design rationale that addresses it — perhaps the coastal exposure demands the hardier non-native species, or the DPD requirement is being interpreted differently for garden landscaping versus new-build schemes?</w:t>
      </w:r>
    </w:p>
    <w:p>
      <w:pPr>
        <w:pStyle w:val="Heading3"/>
      </w:pPr>
      <w:r>
        <w:rPr>
          <w:color w:val="1A1A2E"/>
          <w:sz w:val="22"/>
        </w:rPr>
        <w:t>Muehlenbeckia Near the CWS</w:t>
      </w:r>
    </w:p>
    <w:p>
      <w:r>
        <w:t>This was the one that really interested us. BSBI data shows Muehlenbeckia complexa naturalising and expanding its range in south-western England, specifically colonising cliff and dune habitats. The Mawgan Porth to Newquay County Wildlife Site (maritime cliff and slope, Section 41 Priority Habitat) is approximately 60 metres from the property. It’s not Schedule 9 listed so there’s no legal issue, but we wondered whether the ecology officer has raised any questions about the risk of spread into the adjacent designated habitat, or whether the contained nature of the planting (the “evergreen curtain” along the bank) is considered sufficient mitigation?</w:t>
      </w:r>
    </w:p>
    <w:p>
      <w:pPr>
        <w:pStyle w:val="Heading3"/>
      </w:pPr>
      <w:r>
        <w:rPr>
          <w:color w:val="1A1A2E"/>
          <w:sz w:val="22"/>
        </w:rPr>
        <w:t>Corten Steel in the Coastal Environment</w:t>
      </w:r>
    </w:p>
    <w:p>
      <w:r>
        <w:t>The Corten steps are a beautiful design choice and we completely understand the aesthetic rationale — the weathered finish sits naturally in a coastal landscape. Our system flagged a durability note though: Corten relies on a wet-dry cycle to form its protective oxide patina, and persistent chloride-rich salt spray within a few hundred metres of the coast can prevent that stabilising, leading to ongoing pitting rather than the intended even weathering. Has this been a consideration in the specification, or is there a marine-grade treatment being applied? Just curious — the Cornish granite you’ve used elsewhere on the project is obviously bombproof.</w:t>
      </w:r>
    </w:p>
    <w:p>
      <w:pPr>
        <w:pStyle w:val="Heading3"/>
      </w:pPr>
      <w:r>
        <w:rPr>
          <w:color w:val="1A1A2E"/>
          <w:sz w:val="22"/>
        </w:rPr>
        <w:t>AGLV and SWCP Context</w:t>
      </w:r>
    </w:p>
    <w:p>
      <w:r>
        <w:t>We noted the site sits within the Lanherne and Watergate AGLV (saved Policy 14, Restormel Local Plan — confirmed as carrying real planning weight by the Court of Appeal in Corbett v Cornwall Council [2020] EWCA Civ 508) and that the South West Coast Path runs immediately along the cliff edge at Trenance. Has the council asked for any landscape and visual impact assessment for the landscaping works, given these designations? Or is the view that softening landscaping is inherently beneficial to the AGLV and doesn’t need a formal assessment?</w:t>
      </w:r>
    </w:p>
    <w:p>
      <w:pPr>
        <w:spacing w:before="80" w:after="80"/>
      </w:pPr>
      <w:r>
        <w:rPr>
          <w:color w:val="CCCCCC"/>
          <w:sz w:val="16"/>
        </w:rPr>
        <w:t>──────────────────────────────────────────────────────────────────────</w:t>
      </w:r>
    </w:p>
    <w:p>
      <w:pPr>
        <w:pStyle w:val="Heading2"/>
      </w:pPr>
      <w:r>
        <w:rPr>
          <w:color w:val="1A1A2E"/>
          <w:sz w:val="26"/>
        </w:rPr>
        <w:t>Purely Academic</w:t>
      </w:r>
    </w:p>
    <w:p>
      <w:r>
        <w:t>I want to stress — this is entirely a learning exercise for us. We’re not involved in the area, we have no interest in the application, and we think the overall design approach is excellent. The permeable grass driveway with Greenstones pavers, the Cornish boulders, the intent to soften the building into the landscape rather than intensify it — that’s exactly the kind of thoughtful, site-specific response that planning officers and landscape consultants want to see.</w:t>
      </w:r>
    </w:p>
    <w:p>
      <w:r>
        <w:t>We’re just genuinely interested in how these kinds of edge-case technical questions play out in practice with Cornwall Council, because it helps us calibrate our system against real-world outcomes rather than just policy text.</w:t>
      </w:r>
    </w:p>
    <w:p>
      <w:r>
        <w:t>If you ever have a spare ten minutes and fancy a chat about any of the above, we’d be delighted. And if you’d like to see what our system does — happy to run any site through it, on the house.</w:t>
      </w:r>
    </w:p>
    <w:p>
      <w:r>
        <w:t>Fantastic work on Bobtails. Looking forward to seeing how the landscaping shapes up.</w:t>
      </w:r>
    </w:p>
    <w:p/>
    <w:p>
      <w:r>
        <w:t>Best regards,</w:t>
      </w:r>
    </w:p>
    <w:p>
      <w:r>
        <w:rPr>
          <w:b/>
        </w:rPr>
        <w:t>Chris</w:t>
      </w:r>
    </w:p>
    <w:p>
      <w:r>
        <w:rPr>
          <w:b/>
          <w:color w:val="1A1A2E"/>
        </w:rPr>
        <w:t>PF &amp; Co Site Intelligence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