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669"/>
        <w:gridCol w:w="3969"/>
      </w:tblGrid>
      <w:tr>
        <w:tc>
          <w:tcPr>
            <w:tcW w:type="dxa" w:w="4819"/>
          </w:tcPr>
          <w:p>
            <w:r>
              <w:rPr>
                <w:rFonts w:ascii="Calibri" w:hAnsi="Calibri"/>
                <w:b/>
                <w:i w:val="0"/>
                <w:color w:val="0A0A0A"/>
                <w:sz w:val="36"/>
              </w:rPr>
              <w:t>PF &amp; Co Construction Ltd</w:t>
            </w:r>
          </w:p>
          <w:p>
            <w:pPr>
              <w:spacing w:before="40"/>
            </w:pPr>
            <w:r>
              <w:rPr>
                <w:rFonts w:ascii="Calibri" w:hAnsi="Calibri"/>
                <w:b w:val="0"/>
                <w:i w:val="0"/>
                <w:color w:val="666666"/>
                <w:sz w:val="16"/>
              </w:rPr>
              <w:t>Structural Engineering &amp; Construction — Surrey, London &amp; the South East</w:t>
            </w:r>
          </w:p>
        </w:tc>
        <w:tc>
          <w:tcPr>
            <w:tcW w:type="dxa" w:w="4819"/>
          </w:tcPr>
          <w:p>
            <w:pPr>
              <w:jc w:val="right"/>
            </w:pPr>
            <w:r>
              <w:rPr>
                <w:rFonts w:ascii="Calibri" w:hAnsi="Calibri"/>
                <w:b/>
                <w:i w:val="0"/>
                <w:color w:val="0A0A0A"/>
                <w:sz w:val="18"/>
              </w:rPr>
              <w:t>PF &amp; Co Construction Ltd</w:t>
              <w:br/>
            </w:r>
            <w:r>
              <w:rPr>
                <w:rFonts w:ascii="Calibri" w:hAnsi="Calibri"/>
                <w:b w:val="0"/>
                <w:i w:val="0"/>
                <w:color w:val="666666"/>
                <w:sz w:val="18"/>
              </w:rPr>
              <w:t>01483 363 210</w:t>
              <w:br/>
            </w:r>
            <w:r>
              <w:rPr>
                <w:rFonts w:ascii="Calibri" w:hAnsi="Calibri"/>
                <w:b w:val="0"/>
                <w:i w:val="0"/>
                <w:color w:val="666666"/>
                <w:sz w:val="18"/>
              </w:rPr>
              <w:t>info@pfcoconstruction.co.uk</w:t>
              <w:br/>
            </w:r>
            <w:r>
              <w:rPr>
                <w:rFonts w:ascii="Calibri" w:hAnsi="Calibri"/>
                <w:b w:val="0"/>
                <w:i w:val="0"/>
                <w:color w:val="666666"/>
                <w:sz w:val="18"/>
              </w:rPr>
              <w:t>www.pfcoconstruction.co.uk</w:t>
            </w:r>
          </w:p>
        </w:tc>
      </w:tr>
    </w:tbl>
    <w:tbl>
      <w:tblPr>
        <w:tblW w:type="auto" w:w="0"/>
        <w:jc w:val="center"/>
        <w:tblLook w:firstColumn="1" w:firstRow="1" w:lastColumn="0" w:lastRow="0" w:noHBand="0" w:noVBand="1" w:val="04A0"/>
      </w:tblPr>
      <w:tblGrid>
        <w:gridCol w:w="9638"/>
      </w:tblGrid>
      <w:tr>
        <w:trPr>
          <w:trHeight w:val="56" w:hRule="atLeast"/>
        </w:trPr>
        <w:tc>
          <w:tcPr>
            <w:tcW w:type="dxa" w:w="9638"/>
            <w:shd w:fill="F59E0B"/>
          </w:tcPr>
          <w:p>
            <w:r/>
          </w:p>
        </w:tc>
      </w:tr>
    </w:tbl>
    <w:tbl>
      <w:tblPr>
        <w:tblW w:type="auto" w:w="0"/>
        <w:jc w:val="center"/>
        <w:tblLook w:firstColumn="1" w:firstRow="1" w:lastColumn="0" w:lastRow="0" w:noHBand="0" w:noVBand="1" w:val="04A0"/>
      </w:tblPr>
      <w:tblGrid>
        <w:gridCol w:w="5669"/>
        <w:gridCol w:w="3969"/>
      </w:tblGrid>
      <w:tr>
        <w:trPr>
          <w:trHeight w:val="510" w:hRule="atLeast"/>
        </w:trPr>
        <w:tc>
          <w:tcPr>
            <w:tcW w:type="dxa" w:w="4819"/>
            <w:shd w:fill="0A0A0A"/>
          </w:tcPr>
          <w:p>
            <w:r>
              <w:rPr>
                <w:rFonts w:ascii="Calibri" w:hAnsi="Calibri"/>
                <w:b/>
                <w:i w:val="0"/>
                <w:color w:val="FFFFFF"/>
                <w:sz w:val="28"/>
              </w:rPr>
              <w:t>QUOTATION</w:t>
            </w:r>
          </w:p>
        </w:tc>
        <w:tc>
          <w:tcPr>
            <w:tcW w:type="dxa" w:w="4819"/>
            <w:shd w:fill="0A0A0A"/>
          </w:tcPr>
          <w:p>
            <w:pPr>
              <w:jc w:val="right"/>
            </w:pPr>
            <w:r>
              <w:rPr>
                <w:rFonts w:ascii="Calibri" w:hAnsi="Calibri"/>
                <w:b w:val="0"/>
                <w:i w:val="0"/>
                <w:color w:val="F59E0B"/>
                <w:sz w:val="18"/>
              </w:rPr>
              <w:t>Ref: PF/Q/2026-0302/WBC  |  Date: 2 March 2026</w:t>
            </w:r>
          </w:p>
        </w:tc>
      </w:tr>
    </w:tbl>
    <w:p/>
    <w:tbl>
      <w:tblPr>
        <w:tblW w:type="auto" w:w="0"/>
        <w:jc w:val="center"/>
        <w:tblLook w:firstColumn="1" w:firstRow="1" w:lastColumn="0" w:lastRow="0" w:noHBand="0" w:noVBand="1" w:val="04A0"/>
      </w:tblPr>
      <w:tblGrid>
        <w:gridCol w:w="4819"/>
        <w:gridCol w:w="4819"/>
      </w:tblGrid>
      <w:tr>
        <w:tc>
          <w:tcPr>
            <w:tcW w:type="dxa" w:w="4819"/>
            <w:tcBorders>
              <w:top w:val="single" w:sz="4" w:space="0" w:color="E0E0E0"/>
              <w:bottom w:val="single" w:sz="4" w:space="0" w:color="E0E0E0"/>
              <w:left w:val="single" w:sz="4" w:space="0" w:color="E0E0E0"/>
              <w:right w:val="single" w:sz="4" w:space="0" w:color="E0E0E0"/>
            </w:tcBorders>
          </w:tcPr>
          <w:p>
            <w:r>
              <w:rPr>
                <w:rFonts w:ascii="Calibri" w:hAnsi="Calibri"/>
                <w:b/>
                <w:i w:val="0"/>
                <w:color w:val="999999"/>
                <w:sz w:val="16"/>
              </w:rPr>
              <w:t>CLIENT</w:t>
            </w:r>
          </w:p>
          <w:p>
            <w:r>
              <w:rPr>
                <w:rFonts w:ascii="Calibri" w:hAnsi="Calibri"/>
                <w:b/>
                <w:i w:val="0"/>
                <w:color w:val="0A0A0A"/>
                <w:sz w:val="20"/>
              </w:rPr>
              <w:t>Wonersh Bowls Club</w:t>
              <w:br/>
            </w:r>
            <w:r>
              <w:rPr>
                <w:rFonts w:ascii="Calibri" w:hAnsi="Calibri"/>
                <w:b w:val="0"/>
                <w:i w:val="0"/>
                <w:color w:val="666666"/>
                <w:sz w:val="20"/>
              </w:rPr>
              <w:t>Wonersh Common</w:t>
              <w:br/>
              <w:t>Wonersh, Guildford</w:t>
              <w:br/>
              <w:t>Surrey GU5 0PH</w:t>
            </w:r>
          </w:p>
        </w:tc>
        <w:tc>
          <w:tcPr>
            <w:tcW w:type="dxa" w:w="4819"/>
            <w:tcBorders>
              <w:top w:val="single" w:sz="4" w:space="0" w:color="E0E0E0"/>
              <w:bottom w:val="single" w:sz="4" w:space="0" w:color="E0E0E0"/>
              <w:left w:val="single" w:sz="4" w:space="0" w:color="E0E0E0"/>
              <w:right w:val="single" w:sz="4" w:space="0" w:color="E0E0E0"/>
            </w:tcBorders>
          </w:tcPr>
          <w:p>
            <w:r>
              <w:rPr>
                <w:rFonts w:ascii="Calibri" w:hAnsi="Calibri"/>
                <w:b/>
                <w:i w:val="0"/>
                <w:color w:val="999999"/>
                <w:sz w:val="16"/>
              </w:rPr>
              <w:t>SITE &amp; PROJECT</w:t>
            </w:r>
          </w:p>
          <w:p>
            <w:r>
              <w:rPr>
                <w:rFonts w:ascii="Calibri" w:hAnsi="Calibri"/>
                <w:b/>
                <w:i w:val="0"/>
                <w:color w:val="0A0A0A"/>
                <w:sz w:val="20"/>
              </w:rPr>
              <w:t>Construction of Disabled Parking Area</w:t>
              <w:br/>
            </w:r>
            <w:r>
              <w:rPr>
                <w:rFonts w:ascii="Calibri" w:hAnsi="Calibri"/>
                <w:b w:val="0"/>
                <w:i w:val="0"/>
                <w:color w:val="666666"/>
                <w:sz w:val="20"/>
              </w:rPr>
              <w:t>Wonersh Bowls Club, Wonersh Common, Surrey</w:t>
              <w:br/>
            </w:r>
            <w:r>
              <w:rPr>
                <w:rFonts w:ascii="Calibri" w:hAnsi="Calibri"/>
                <w:b w:val="0"/>
                <w:i w:val="0"/>
                <w:color w:val="666666"/>
                <w:sz w:val="20"/>
              </w:rPr>
              <w:t>Area: 40 m²  |  Duration: approx. 1 week</w:t>
              <w:br/>
            </w:r>
            <w:r>
              <w:rPr>
                <w:rFonts w:ascii="Calibri" w:hAnsi="Calibri"/>
                <w:b w:val="0"/>
                <w:i/>
                <w:color w:val="999999"/>
                <w:sz w:val="16"/>
              </w:rPr>
              <w:t>Site electrics, water &amp; welfare provided by client</w:t>
            </w:r>
          </w:p>
        </w:tc>
      </w:tr>
    </w:tbl>
    <w:p/>
    <w:p>
      <w:pPr>
        <w:spacing w:after="80"/>
      </w:pPr>
      <w:r>
        <w:rPr>
          <w:rFonts w:ascii="Calibri" w:hAnsi="Calibri"/>
          <w:b/>
          <w:i w:val="0"/>
          <w:color w:val="0A0A0A"/>
          <w:sz w:val="22"/>
        </w:rPr>
        <w:t>Scope of Works</w:t>
      </w:r>
    </w:p>
    <w:p>
      <w:pPr>
        <w:spacing w:after="200"/>
      </w:pPr>
      <w:r>
        <w:rPr>
          <w:rFonts w:ascii="Calibri" w:hAnsi="Calibri"/>
          <w:b w:val="0"/>
          <w:i w:val="0"/>
          <w:color w:val="666666"/>
          <w:sz w:val="20"/>
        </w:rPr>
        <w:t>Formation of a new disabled-accessible parking area (40 m²) comprising excavation to formation level, MOT Type 1 sub-base installation (150 mm compacted depth), heavy-duty weed prevention membrane, commercial-grade gravel stabilisation grid system suitable for vehicular loading and DDA-compliant wheelchair access, gravel infill, and 18 linear metres of granite set kerb edging. Works include careful excavation around existing underground services (soil pipes, electrical cables and water supply pipes) and full disposal of excavated material.</w:t>
      </w:r>
    </w:p>
    <w:p>
      <w:pPr>
        <w:spacing w:after="80"/>
      </w:pPr>
      <w:r>
        <w:rPr>
          <w:rFonts w:ascii="Calibri" w:hAnsi="Calibri"/>
          <w:b/>
          <w:i w:val="0"/>
          <w:color w:val="0A0A0A"/>
          <w:sz w:val="22"/>
        </w:rPr>
        <w:t>Site Location</w:t>
      </w:r>
    </w:p>
    <w:p>
      <w:pPr>
        <w:spacing w:after="40"/>
      </w:pPr>
      <w:r>
        <w:rPr>
          <w:rFonts w:ascii="Calibri" w:hAnsi="Calibri"/>
          <w:b w:val="0"/>
          <w:i w:val="0"/>
          <w:color w:val="666666"/>
          <w:sz w:val="20"/>
        </w:rPr>
        <w:t>Wonersh Common, Wonersh, Guildford, Surrey GU5 0PH</w:t>
      </w:r>
    </w:p>
    <w:p>
      <w:pPr>
        <w:spacing w:after="200"/>
      </w:pPr>
      <w:r>
        <w:rPr>
          <w:rFonts w:ascii="Calibri" w:hAnsi="Calibri"/>
          <w:b w:val="0"/>
          <w:i w:val="0"/>
          <w:color w:val="666666"/>
          <w:sz w:val="18"/>
        </w:rPr>
        <w:t xml:space="preserve">Google Maps: </w:t>
      </w:r>
      <w:r>
        <w:rPr>
          <w:rFonts w:ascii="Calibri" w:hAnsi="Calibri"/>
          <w:b w:val="0"/>
          <w:i w:val="0"/>
          <w:color w:val="0056B3"/>
          <w:sz w:val="18"/>
        </w:rPr>
        <w:t>https://maps.google.com/?q=Wonersh+Bowls+Club+Surrey+GU5+0PH</w:t>
      </w:r>
    </w:p>
    <w:tbl>
      <w:tblPr>
        <w:tblW w:type="auto" w:w="0"/>
        <w:jc w:val="center"/>
        <w:tblLook w:firstColumn="1" w:firstRow="1" w:lastColumn="0" w:lastRow="0" w:noHBand="0" w:noVBand="1" w:val="04A0"/>
      </w:tblPr>
      <w:tblGrid>
        <w:gridCol w:w="680"/>
        <w:gridCol w:w="7370"/>
        <w:gridCol w:w="1587"/>
      </w:tblGrid>
      <w:tr>
        <w:tc>
          <w:tcPr>
            <w:tcW w:type="dxa" w:w="3213"/>
            <w:shd w:fill="0A0A0A"/>
          </w:tcPr>
          <w:p>
            <w:pPr>
              <w:jc w:val="left"/>
            </w:pPr>
            <w:r>
              <w:rPr>
                <w:rFonts w:ascii="Calibri" w:hAnsi="Calibri"/>
                <w:b/>
                <w:i w:val="0"/>
                <w:color w:val="FFFFFF"/>
                <w:sz w:val="16"/>
              </w:rPr>
              <w:t>Ref</w:t>
            </w:r>
          </w:p>
        </w:tc>
        <w:tc>
          <w:tcPr>
            <w:tcW w:type="dxa" w:w="3213"/>
            <w:shd w:fill="0A0A0A"/>
          </w:tcPr>
          <w:p>
            <w:pPr>
              <w:jc w:val="left"/>
            </w:pPr>
            <w:r>
              <w:rPr>
                <w:rFonts w:ascii="Calibri" w:hAnsi="Calibri"/>
                <w:b/>
                <w:i w:val="0"/>
                <w:color w:val="FFFFFF"/>
                <w:sz w:val="16"/>
              </w:rPr>
              <w:t>Description</w:t>
            </w:r>
          </w:p>
        </w:tc>
        <w:tc>
          <w:tcPr>
            <w:tcW w:type="dxa" w:w="3213"/>
            <w:shd w:fill="0A0A0A"/>
          </w:tcPr>
          <w:p>
            <w:pPr>
              <w:jc w:val="right"/>
            </w:pPr>
            <w:r>
              <w:rPr>
                <w:rFonts w:ascii="Calibri" w:hAnsi="Calibri"/>
                <w:b/>
                <w:i w:val="0"/>
                <w:color w:val="FFFFFF"/>
                <w:sz w:val="16"/>
              </w:rPr>
              <w:t>Amount (£)</w:t>
            </w:r>
          </w:p>
        </w:tc>
      </w:tr>
      <w:tr>
        <w:tc>
          <w:tcPr>
            <w:tcW w:type="dxa" w:w="680"/>
            <w:shd w:fill="F5F5F5"/>
          </w:tcPr>
          <w:p>
            <w:r>
              <w:rPr>
                <w:rFonts w:ascii="Calibri" w:hAnsi="Calibri"/>
                <w:b/>
                <w:i w:val="0"/>
                <w:color w:val="0A0A0A"/>
                <w:sz w:val="20"/>
              </w:rPr>
              <w:t>1.0</w:t>
            </w:r>
          </w:p>
        </w:tc>
        <w:tc>
          <w:tcPr>
            <w:tcW w:type="dxa" w:w="7370"/>
            <w:shd w:fill="F5F5F5"/>
          </w:tcPr>
          <w:p>
            <w:r>
              <w:rPr>
                <w:rFonts w:ascii="Calibri" w:hAnsi="Calibri"/>
                <w:b/>
                <w:i w:val="0"/>
                <w:color w:val="0A0A0A"/>
                <w:sz w:val="20"/>
              </w:rPr>
              <w:t>Excavation &amp; Site Clearance</w:t>
            </w:r>
          </w:p>
        </w:tc>
        <w:tc>
          <w:tcPr>
            <w:tcW w:type="dxa" w:w="1587"/>
            <w:shd w:fill="F5F5F5"/>
          </w:tcPr>
          <w:p>
            <w:pPr>
              <w:jc w:val="right"/>
            </w:pPr>
            <w:r>
              <w:rPr>
                <w:rFonts w:ascii="Calibri" w:hAnsi="Calibri"/>
                <w:b/>
                <w:i w:val="0"/>
                <w:color w:val="0A0A0A"/>
                <w:sz w:val="20"/>
              </w:rPr>
            </w:r>
          </w:p>
        </w:tc>
      </w:tr>
      <w:tr>
        <w:tc>
          <w:tcPr>
            <w:tcW w:type="dxa" w:w="680"/>
          </w:tcPr>
          <w:p>
            <w:r/>
            <w:r>
              <w:rPr>
                <w:rFonts w:ascii="Calibri" w:hAnsi="Calibri"/>
                <w:b/>
                <w:i w:val="0"/>
                <w:color w:val="666666"/>
                <w:sz w:val="18"/>
              </w:rPr>
              <w:t>1.1</w:t>
            </w:r>
          </w:p>
        </w:tc>
        <w:tc>
          <w:tcPr>
            <w:tcW w:type="dxa" w:w="7370"/>
          </w:tcPr>
          <w:p>
            <w:r/>
            <w:r>
              <w:rPr>
                <w:rFonts w:ascii="Calibri" w:hAnsi="Calibri"/>
                <w:b w:val="0"/>
                <w:i w:val="0"/>
                <w:color w:val="333333"/>
                <w:sz w:val="18"/>
              </w:rPr>
              <w:t>Excavate existing ground over 40 m² area to formation level (approx. 200 mm depth). Strip existing turf and topsoil. Work carefully around existing underground services including soil pipes, electrical cables and water supply pipes. Hand-dig where required in proximity to services.</w:t>
            </w:r>
          </w:p>
        </w:tc>
        <w:tc>
          <w:tcPr>
            <w:tcW w:type="dxa" w:w="1587"/>
          </w:tcPr>
          <w:p>
            <w:pPr>
              <w:jc w:val="right"/>
            </w:pPr>
            <w:r/>
            <w:r>
              <w:rPr>
                <w:rFonts w:ascii="Calibri" w:hAnsi="Calibri"/>
                <w:b w:val="0"/>
                <w:i w:val="0"/>
                <w:color w:val="0A0A0A"/>
                <w:sz w:val="18"/>
              </w:rPr>
              <w:t>850.00</w:t>
            </w:r>
          </w:p>
        </w:tc>
      </w:tr>
      <w:tr>
        <w:tc>
          <w:tcPr>
            <w:tcW w:type="dxa" w:w="680"/>
          </w:tcPr>
          <w:p>
            <w:r/>
            <w:r>
              <w:rPr>
                <w:rFonts w:ascii="Calibri" w:hAnsi="Calibri"/>
                <w:b/>
                <w:i w:val="0"/>
                <w:color w:val="666666"/>
                <w:sz w:val="18"/>
              </w:rPr>
              <w:t>1.2</w:t>
            </w:r>
          </w:p>
        </w:tc>
        <w:tc>
          <w:tcPr>
            <w:tcW w:type="dxa" w:w="7370"/>
          </w:tcPr>
          <w:p>
            <w:r/>
            <w:r>
              <w:rPr>
                <w:rFonts w:ascii="Calibri" w:hAnsi="Calibri"/>
                <w:b w:val="0"/>
                <w:i w:val="0"/>
                <w:color w:val="333333"/>
                <w:sz w:val="18"/>
              </w:rPr>
              <w:t>Disposal of excavated material (soil/turf) via grab lorry — 1 no. load, clean inert waste</w:t>
            </w:r>
          </w:p>
        </w:tc>
        <w:tc>
          <w:tcPr>
            <w:tcW w:type="dxa" w:w="1587"/>
          </w:tcPr>
          <w:p>
            <w:pPr>
              <w:jc w:val="right"/>
            </w:pPr>
            <w:r/>
            <w:r>
              <w:rPr>
                <w:rFonts w:ascii="Calibri" w:hAnsi="Calibri"/>
                <w:b w:val="0"/>
                <w:i w:val="0"/>
                <w:color w:val="0A0A0A"/>
                <w:sz w:val="18"/>
              </w:rPr>
              <w:t>440.00</w:t>
            </w:r>
          </w:p>
        </w:tc>
      </w:tr>
      <w:tr>
        <w:tc>
          <w:tcPr>
            <w:tcW w:type="dxa" w:w="680"/>
          </w:tcPr>
          <w:p>
            <w:r/>
            <w:r>
              <w:rPr>
                <w:rFonts w:ascii="Calibri" w:hAnsi="Calibri"/>
                <w:b/>
                <w:i w:val="0"/>
                <w:color w:val="666666"/>
                <w:sz w:val="18"/>
              </w:rPr>
              <w:t>1.3</w:t>
            </w:r>
          </w:p>
        </w:tc>
        <w:tc>
          <w:tcPr>
            <w:tcW w:type="dxa" w:w="7370"/>
          </w:tcPr>
          <w:p>
            <w:r/>
            <w:r>
              <w:rPr>
                <w:rFonts w:ascii="Calibri" w:hAnsi="Calibri"/>
                <w:b w:val="0"/>
                <w:i w:val="0"/>
                <w:color w:val="333333"/>
                <w:sz w:val="18"/>
              </w:rPr>
              <w:t>1.5 tonne mini excavator hire — 1 week including delivery to site and collection on completion</w:t>
            </w:r>
          </w:p>
        </w:tc>
        <w:tc>
          <w:tcPr>
            <w:tcW w:type="dxa" w:w="1587"/>
          </w:tcPr>
          <w:p>
            <w:pPr>
              <w:jc w:val="right"/>
            </w:pPr>
            <w:r/>
            <w:r>
              <w:rPr>
                <w:rFonts w:ascii="Calibri" w:hAnsi="Calibri"/>
                <w:b w:val="0"/>
                <w:i w:val="0"/>
                <w:color w:val="0A0A0A"/>
                <w:sz w:val="18"/>
              </w:rPr>
              <w:t>560.00</w:t>
            </w:r>
          </w:p>
        </w:tc>
      </w:tr>
      <w:tr>
        <w:tc>
          <w:tcPr>
            <w:tcW w:type="dxa" w:w="680"/>
            <w:shd w:fill="FAFAFA"/>
            <w:tcBorders>
              <w:top w:val="single" w:sz="4" w:space="0" w:color="CCCCCC"/>
              <w:bottom w:val="single" w:sz="8" w:space="0" w:color="E0E0E0"/>
            </w:tcBorders>
          </w:tcPr>
          <w:p>
            <w:r>
              <w:rPr>
                <w:rFonts w:ascii="Calibri" w:hAnsi="Calibri"/>
                <w:b/>
                <w:i w:val="0"/>
                <w:color w:val="0A0A0A"/>
                <w:sz w:val="18"/>
              </w:rPr>
            </w:r>
          </w:p>
        </w:tc>
        <w:tc>
          <w:tcPr>
            <w:tcW w:type="dxa" w:w="7370"/>
            <w:shd w:fill="FAFAFA"/>
            <w:tcBorders>
              <w:top w:val="single" w:sz="4" w:space="0" w:color="CCCCCC"/>
              <w:bottom w:val="single" w:sz="8" w:space="0" w:color="E0E0E0"/>
            </w:tcBorders>
          </w:tcPr>
          <w:p>
            <w:r>
              <w:rPr>
                <w:rFonts w:ascii="Calibri" w:hAnsi="Calibri"/>
                <w:b/>
                <w:i w:val="0"/>
                <w:color w:val="0A0A0A"/>
                <w:sz w:val="18"/>
              </w:rPr>
              <w:t>Section 1 Subtotal</w:t>
            </w:r>
          </w:p>
        </w:tc>
        <w:tc>
          <w:tcPr>
            <w:tcW w:type="dxa" w:w="1587"/>
            <w:shd w:fill="FAFAFA"/>
            <w:tcBorders>
              <w:top w:val="single" w:sz="4" w:space="0" w:color="CCCCCC"/>
              <w:bottom w:val="single" w:sz="8" w:space="0" w:color="E0E0E0"/>
            </w:tcBorders>
          </w:tcPr>
          <w:p>
            <w:pPr>
              <w:jc w:val="right"/>
            </w:pPr>
            <w:r>
              <w:rPr>
                <w:rFonts w:ascii="Calibri" w:hAnsi="Calibri"/>
                <w:b/>
                <w:i w:val="0"/>
                <w:color w:val="0A0A0A"/>
                <w:sz w:val="18"/>
              </w:rPr>
              <w:t>1,850.00</w:t>
            </w:r>
          </w:p>
        </w:tc>
      </w:tr>
      <w:tr>
        <w:tc>
          <w:tcPr>
            <w:tcW w:type="dxa" w:w="680"/>
            <w:shd w:fill="F5F5F5"/>
          </w:tcPr>
          <w:p>
            <w:r>
              <w:rPr>
                <w:rFonts w:ascii="Calibri" w:hAnsi="Calibri"/>
                <w:b/>
                <w:i w:val="0"/>
                <w:color w:val="0A0A0A"/>
                <w:sz w:val="20"/>
              </w:rPr>
              <w:t>2.0</w:t>
            </w:r>
          </w:p>
        </w:tc>
        <w:tc>
          <w:tcPr>
            <w:tcW w:type="dxa" w:w="7370"/>
            <w:shd w:fill="F5F5F5"/>
          </w:tcPr>
          <w:p>
            <w:r>
              <w:rPr>
                <w:rFonts w:ascii="Calibri" w:hAnsi="Calibri"/>
                <w:b/>
                <w:i w:val="0"/>
                <w:color w:val="0A0A0A"/>
                <w:sz w:val="20"/>
              </w:rPr>
              <w:t>Type 1 Sub-base</w:t>
            </w:r>
          </w:p>
        </w:tc>
        <w:tc>
          <w:tcPr>
            <w:tcW w:type="dxa" w:w="1587"/>
            <w:shd w:fill="F5F5F5"/>
          </w:tcPr>
          <w:p>
            <w:pPr>
              <w:jc w:val="right"/>
            </w:pPr>
            <w:r>
              <w:rPr>
                <w:rFonts w:ascii="Calibri" w:hAnsi="Calibri"/>
                <w:b/>
                <w:i w:val="0"/>
                <w:color w:val="0A0A0A"/>
                <w:sz w:val="20"/>
              </w:rPr>
            </w:r>
          </w:p>
        </w:tc>
      </w:tr>
      <w:tr>
        <w:tc>
          <w:tcPr>
            <w:tcW w:type="dxa" w:w="680"/>
          </w:tcPr>
          <w:p>
            <w:r/>
            <w:r>
              <w:rPr>
                <w:rFonts w:ascii="Calibri" w:hAnsi="Calibri"/>
                <w:b/>
                <w:i w:val="0"/>
                <w:color w:val="666666"/>
                <w:sz w:val="18"/>
              </w:rPr>
              <w:t>2.1</w:t>
            </w:r>
          </w:p>
        </w:tc>
        <w:tc>
          <w:tcPr>
            <w:tcW w:type="dxa" w:w="7370"/>
          </w:tcPr>
          <w:p>
            <w:r/>
            <w:r>
              <w:rPr>
                <w:rFonts w:ascii="Calibri" w:hAnsi="Calibri"/>
                <w:b w:val="0"/>
                <w:i w:val="0"/>
                <w:color w:val="333333"/>
                <w:sz w:val="18"/>
              </w:rPr>
              <w:t>Supply and deliver MOT Type 1 crushed stone aggregate to site — 10 tonne load</w:t>
            </w:r>
          </w:p>
        </w:tc>
        <w:tc>
          <w:tcPr>
            <w:tcW w:type="dxa" w:w="1587"/>
          </w:tcPr>
          <w:p>
            <w:pPr>
              <w:jc w:val="right"/>
            </w:pPr>
            <w:r/>
            <w:r>
              <w:rPr>
                <w:rFonts w:ascii="Calibri" w:hAnsi="Calibri"/>
                <w:b w:val="0"/>
                <w:i w:val="0"/>
                <w:color w:val="0A0A0A"/>
                <w:sz w:val="18"/>
              </w:rPr>
              <w:t>500.00</w:t>
            </w:r>
          </w:p>
        </w:tc>
      </w:tr>
      <w:tr>
        <w:tc>
          <w:tcPr>
            <w:tcW w:type="dxa" w:w="680"/>
          </w:tcPr>
          <w:p>
            <w:r/>
            <w:r>
              <w:rPr>
                <w:rFonts w:ascii="Calibri" w:hAnsi="Calibri"/>
                <w:b/>
                <w:i w:val="0"/>
                <w:color w:val="666666"/>
                <w:sz w:val="18"/>
              </w:rPr>
              <w:t>2.2</w:t>
            </w:r>
          </w:p>
        </w:tc>
        <w:tc>
          <w:tcPr>
            <w:tcW w:type="dxa" w:w="7370"/>
          </w:tcPr>
          <w:p>
            <w:r/>
            <w:r>
              <w:rPr>
                <w:rFonts w:ascii="Calibri" w:hAnsi="Calibri"/>
                <w:b w:val="0"/>
                <w:i w:val="0"/>
                <w:color w:val="333333"/>
                <w:sz w:val="18"/>
              </w:rPr>
              <w:t>Spread and compact Type 1 sub-base to 150 mm finished compacted depth over 40 m² area, including level checks</w:t>
            </w:r>
          </w:p>
        </w:tc>
        <w:tc>
          <w:tcPr>
            <w:tcW w:type="dxa" w:w="1587"/>
          </w:tcPr>
          <w:p>
            <w:pPr>
              <w:jc w:val="right"/>
            </w:pPr>
            <w:r/>
            <w:r>
              <w:rPr>
                <w:rFonts w:ascii="Calibri" w:hAnsi="Calibri"/>
                <w:b w:val="0"/>
                <w:i w:val="0"/>
                <w:color w:val="0A0A0A"/>
                <w:sz w:val="18"/>
              </w:rPr>
              <w:t>420.00</w:t>
            </w:r>
          </w:p>
        </w:tc>
      </w:tr>
      <w:tr>
        <w:tc>
          <w:tcPr>
            <w:tcW w:type="dxa" w:w="680"/>
            <w:shd w:fill="FAFAFA"/>
            <w:tcBorders>
              <w:top w:val="single" w:sz="4" w:space="0" w:color="CCCCCC"/>
              <w:bottom w:val="single" w:sz="8" w:space="0" w:color="E0E0E0"/>
            </w:tcBorders>
          </w:tcPr>
          <w:p>
            <w:r>
              <w:rPr>
                <w:rFonts w:ascii="Calibri" w:hAnsi="Calibri"/>
                <w:b/>
                <w:i w:val="0"/>
                <w:color w:val="0A0A0A"/>
                <w:sz w:val="18"/>
              </w:rPr>
            </w:r>
          </w:p>
        </w:tc>
        <w:tc>
          <w:tcPr>
            <w:tcW w:type="dxa" w:w="7370"/>
            <w:shd w:fill="FAFAFA"/>
            <w:tcBorders>
              <w:top w:val="single" w:sz="4" w:space="0" w:color="CCCCCC"/>
              <w:bottom w:val="single" w:sz="8" w:space="0" w:color="E0E0E0"/>
            </w:tcBorders>
          </w:tcPr>
          <w:p>
            <w:r>
              <w:rPr>
                <w:rFonts w:ascii="Calibri" w:hAnsi="Calibri"/>
                <w:b/>
                <w:i w:val="0"/>
                <w:color w:val="0A0A0A"/>
                <w:sz w:val="18"/>
              </w:rPr>
              <w:t>Section 2 Subtotal</w:t>
            </w:r>
          </w:p>
        </w:tc>
        <w:tc>
          <w:tcPr>
            <w:tcW w:type="dxa" w:w="1587"/>
            <w:shd w:fill="FAFAFA"/>
            <w:tcBorders>
              <w:top w:val="single" w:sz="4" w:space="0" w:color="CCCCCC"/>
              <w:bottom w:val="single" w:sz="8" w:space="0" w:color="E0E0E0"/>
            </w:tcBorders>
          </w:tcPr>
          <w:p>
            <w:pPr>
              <w:jc w:val="right"/>
            </w:pPr>
            <w:r>
              <w:rPr>
                <w:rFonts w:ascii="Calibri" w:hAnsi="Calibri"/>
                <w:b/>
                <w:i w:val="0"/>
                <w:color w:val="0A0A0A"/>
                <w:sz w:val="18"/>
              </w:rPr>
              <w:t>920.00</w:t>
            </w:r>
          </w:p>
        </w:tc>
      </w:tr>
      <w:tr>
        <w:tc>
          <w:tcPr>
            <w:tcW w:type="dxa" w:w="680"/>
            <w:shd w:fill="F5F5F5"/>
          </w:tcPr>
          <w:p>
            <w:r>
              <w:rPr>
                <w:rFonts w:ascii="Calibri" w:hAnsi="Calibri"/>
                <w:b/>
                <w:i w:val="0"/>
                <w:color w:val="0A0A0A"/>
                <w:sz w:val="20"/>
              </w:rPr>
              <w:t>3.0</w:t>
            </w:r>
          </w:p>
        </w:tc>
        <w:tc>
          <w:tcPr>
            <w:tcW w:type="dxa" w:w="7370"/>
            <w:shd w:fill="F5F5F5"/>
          </w:tcPr>
          <w:p>
            <w:r>
              <w:rPr>
                <w:rFonts w:ascii="Calibri" w:hAnsi="Calibri"/>
                <w:b/>
                <w:i w:val="0"/>
                <w:color w:val="0A0A0A"/>
                <w:sz w:val="20"/>
              </w:rPr>
              <w:t>Weed Prevention Membrane</w:t>
            </w:r>
          </w:p>
        </w:tc>
        <w:tc>
          <w:tcPr>
            <w:tcW w:type="dxa" w:w="1587"/>
            <w:shd w:fill="F5F5F5"/>
          </w:tcPr>
          <w:p>
            <w:pPr>
              <w:jc w:val="right"/>
            </w:pPr>
            <w:r>
              <w:rPr>
                <w:rFonts w:ascii="Calibri" w:hAnsi="Calibri"/>
                <w:b/>
                <w:i w:val="0"/>
                <w:color w:val="0A0A0A"/>
                <w:sz w:val="20"/>
              </w:rPr>
            </w:r>
          </w:p>
        </w:tc>
      </w:tr>
      <w:tr>
        <w:tc>
          <w:tcPr>
            <w:tcW w:type="dxa" w:w="680"/>
          </w:tcPr>
          <w:p>
            <w:r/>
            <w:r>
              <w:rPr>
                <w:rFonts w:ascii="Calibri" w:hAnsi="Calibri"/>
                <w:b/>
                <w:i w:val="0"/>
                <w:color w:val="666666"/>
                <w:sz w:val="18"/>
              </w:rPr>
              <w:t>3.1</w:t>
            </w:r>
          </w:p>
        </w:tc>
        <w:tc>
          <w:tcPr>
            <w:tcW w:type="dxa" w:w="7370"/>
          </w:tcPr>
          <w:p>
            <w:r/>
            <w:r>
              <w:rPr>
                <w:rFonts w:ascii="Calibri" w:hAnsi="Calibri"/>
                <w:b w:val="0"/>
                <w:i w:val="0"/>
                <w:color w:val="333333"/>
                <w:sz w:val="18"/>
              </w:rPr>
              <w:t>Supply and install heavy-duty geotextile weed prevention membrane over compacted sub-base. Minimum 150 mm overlaps at all joints and edges. Approx. 45 m² including overlaps.</w:t>
            </w:r>
          </w:p>
        </w:tc>
        <w:tc>
          <w:tcPr>
            <w:tcW w:type="dxa" w:w="1587"/>
          </w:tcPr>
          <w:p>
            <w:pPr>
              <w:jc w:val="right"/>
            </w:pPr>
            <w:r/>
            <w:r>
              <w:rPr>
                <w:rFonts w:ascii="Calibri" w:hAnsi="Calibri"/>
                <w:b w:val="0"/>
                <w:i w:val="0"/>
                <w:color w:val="0A0A0A"/>
                <w:sz w:val="18"/>
              </w:rPr>
              <w:t>225.00</w:t>
            </w:r>
          </w:p>
        </w:tc>
      </w:tr>
      <w:tr>
        <w:tc>
          <w:tcPr>
            <w:tcW w:type="dxa" w:w="680"/>
            <w:shd w:fill="FAFAFA"/>
            <w:tcBorders>
              <w:top w:val="single" w:sz="4" w:space="0" w:color="CCCCCC"/>
              <w:bottom w:val="single" w:sz="8" w:space="0" w:color="E0E0E0"/>
            </w:tcBorders>
          </w:tcPr>
          <w:p>
            <w:r>
              <w:rPr>
                <w:rFonts w:ascii="Calibri" w:hAnsi="Calibri"/>
                <w:b/>
                <w:i w:val="0"/>
                <w:color w:val="0A0A0A"/>
                <w:sz w:val="18"/>
              </w:rPr>
            </w:r>
          </w:p>
        </w:tc>
        <w:tc>
          <w:tcPr>
            <w:tcW w:type="dxa" w:w="7370"/>
            <w:shd w:fill="FAFAFA"/>
            <w:tcBorders>
              <w:top w:val="single" w:sz="4" w:space="0" w:color="CCCCCC"/>
              <w:bottom w:val="single" w:sz="8" w:space="0" w:color="E0E0E0"/>
            </w:tcBorders>
          </w:tcPr>
          <w:p>
            <w:r>
              <w:rPr>
                <w:rFonts w:ascii="Calibri" w:hAnsi="Calibri"/>
                <w:b/>
                <w:i w:val="0"/>
                <w:color w:val="0A0A0A"/>
                <w:sz w:val="18"/>
              </w:rPr>
              <w:t>Section 3 Subtotal</w:t>
            </w:r>
          </w:p>
        </w:tc>
        <w:tc>
          <w:tcPr>
            <w:tcW w:type="dxa" w:w="1587"/>
            <w:shd w:fill="FAFAFA"/>
            <w:tcBorders>
              <w:top w:val="single" w:sz="4" w:space="0" w:color="CCCCCC"/>
              <w:bottom w:val="single" w:sz="8" w:space="0" w:color="E0E0E0"/>
            </w:tcBorders>
          </w:tcPr>
          <w:p>
            <w:pPr>
              <w:jc w:val="right"/>
            </w:pPr>
            <w:r>
              <w:rPr>
                <w:rFonts w:ascii="Calibri" w:hAnsi="Calibri"/>
                <w:b/>
                <w:i w:val="0"/>
                <w:color w:val="0A0A0A"/>
                <w:sz w:val="18"/>
              </w:rPr>
              <w:t>225.00</w:t>
            </w:r>
          </w:p>
        </w:tc>
      </w:tr>
      <w:tr>
        <w:tc>
          <w:tcPr>
            <w:tcW w:type="dxa" w:w="680"/>
            <w:shd w:fill="F5F5F5"/>
          </w:tcPr>
          <w:p>
            <w:r>
              <w:rPr>
                <w:rFonts w:ascii="Calibri" w:hAnsi="Calibri"/>
                <w:b/>
                <w:i w:val="0"/>
                <w:color w:val="0A0A0A"/>
                <w:sz w:val="20"/>
              </w:rPr>
              <w:t>4.0</w:t>
            </w:r>
          </w:p>
        </w:tc>
        <w:tc>
          <w:tcPr>
            <w:tcW w:type="dxa" w:w="7370"/>
            <w:shd w:fill="F5F5F5"/>
          </w:tcPr>
          <w:p>
            <w:r>
              <w:rPr>
                <w:rFonts w:ascii="Calibri" w:hAnsi="Calibri"/>
                <w:b/>
                <w:i w:val="0"/>
                <w:color w:val="0A0A0A"/>
                <w:sz w:val="20"/>
              </w:rPr>
              <w:t>Gravel Stabilisation Grid System</w:t>
            </w:r>
          </w:p>
        </w:tc>
        <w:tc>
          <w:tcPr>
            <w:tcW w:type="dxa" w:w="1587"/>
            <w:shd w:fill="F5F5F5"/>
          </w:tcPr>
          <w:p>
            <w:pPr>
              <w:jc w:val="right"/>
            </w:pPr>
            <w:r>
              <w:rPr>
                <w:rFonts w:ascii="Calibri" w:hAnsi="Calibri"/>
                <w:b/>
                <w:i w:val="0"/>
                <w:color w:val="0A0A0A"/>
                <w:sz w:val="20"/>
              </w:rPr>
            </w:r>
          </w:p>
        </w:tc>
      </w:tr>
      <w:tr>
        <w:tc>
          <w:tcPr>
            <w:tcW w:type="dxa" w:w="680"/>
          </w:tcPr>
          <w:p>
            <w:r/>
            <w:r>
              <w:rPr>
                <w:rFonts w:ascii="Calibri" w:hAnsi="Calibri"/>
                <w:b/>
                <w:i w:val="0"/>
                <w:color w:val="666666"/>
                <w:sz w:val="18"/>
              </w:rPr>
              <w:t>4.1</w:t>
            </w:r>
          </w:p>
        </w:tc>
        <w:tc>
          <w:tcPr>
            <w:tcW w:type="dxa" w:w="7370"/>
          </w:tcPr>
          <w:p>
            <w:r/>
            <w:r>
              <w:rPr>
                <w:rFonts w:ascii="Calibri" w:hAnsi="Calibri"/>
                <w:b w:val="0"/>
                <w:i w:val="0"/>
                <w:color w:val="333333"/>
                <w:sz w:val="18"/>
              </w:rPr>
              <w:t>Supply and install commercial heavy-duty gravel stabilisation grid panels to 40 m² area. Grids rated for vehicular loading and DDA-compliant for disabled wheelchair access (min. 250 t/m² load rating). Cut and fit to perimeter and around any service access points.</w:t>
            </w:r>
          </w:p>
        </w:tc>
        <w:tc>
          <w:tcPr>
            <w:tcW w:type="dxa" w:w="1587"/>
          </w:tcPr>
          <w:p>
            <w:pPr>
              <w:jc w:val="right"/>
            </w:pPr>
            <w:r/>
            <w:r>
              <w:rPr>
                <w:rFonts w:ascii="Calibri" w:hAnsi="Calibri"/>
                <w:b w:val="0"/>
                <w:i w:val="0"/>
                <w:color w:val="0A0A0A"/>
                <w:sz w:val="18"/>
              </w:rPr>
              <w:t>1,520.00</w:t>
            </w:r>
          </w:p>
        </w:tc>
      </w:tr>
      <w:tr>
        <w:tc>
          <w:tcPr>
            <w:tcW w:type="dxa" w:w="680"/>
            <w:shd w:fill="FAFAFA"/>
            <w:tcBorders>
              <w:top w:val="single" w:sz="4" w:space="0" w:color="CCCCCC"/>
              <w:bottom w:val="single" w:sz="8" w:space="0" w:color="E0E0E0"/>
            </w:tcBorders>
          </w:tcPr>
          <w:p>
            <w:r>
              <w:rPr>
                <w:rFonts w:ascii="Calibri" w:hAnsi="Calibri"/>
                <w:b/>
                <w:i w:val="0"/>
                <w:color w:val="0A0A0A"/>
                <w:sz w:val="18"/>
              </w:rPr>
            </w:r>
          </w:p>
        </w:tc>
        <w:tc>
          <w:tcPr>
            <w:tcW w:type="dxa" w:w="7370"/>
            <w:shd w:fill="FAFAFA"/>
            <w:tcBorders>
              <w:top w:val="single" w:sz="4" w:space="0" w:color="CCCCCC"/>
              <w:bottom w:val="single" w:sz="8" w:space="0" w:color="E0E0E0"/>
            </w:tcBorders>
          </w:tcPr>
          <w:p>
            <w:r>
              <w:rPr>
                <w:rFonts w:ascii="Calibri" w:hAnsi="Calibri"/>
                <w:b/>
                <w:i w:val="0"/>
                <w:color w:val="0A0A0A"/>
                <w:sz w:val="18"/>
              </w:rPr>
              <w:t>Section 4 Subtotal</w:t>
            </w:r>
          </w:p>
        </w:tc>
        <w:tc>
          <w:tcPr>
            <w:tcW w:type="dxa" w:w="1587"/>
            <w:shd w:fill="FAFAFA"/>
            <w:tcBorders>
              <w:top w:val="single" w:sz="4" w:space="0" w:color="CCCCCC"/>
              <w:bottom w:val="single" w:sz="8" w:space="0" w:color="E0E0E0"/>
            </w:tcBorders>
          </w:tcPr>
          <w:p>
            <w:pPr>
              <w:jc w:val="right"/>
            </w:pPr>
            <w:r>
              <w:rPr>
                <w:rFonts w:ascii="Calibri" w:hAnsi="Calibri"/>
                <w:b/>
                <w:i w:val="0"/>
                <w:color w:val="0A0A0A"/>
                <w:sz w:val="18"/>
              </w:rPr>
              <w:t>1,520.00</w:t>
            </w:r>
          </w:p>
        </w:tc>
      </w:tr>
      <w:tr>
        <w:tc>
          <w:tcPr>
            <w:tcW w:type="dxa" w:w="680"/>
            <w:shd w:fill="F5F5F5"/>
          </w:tcPr>
          <w:p>
            <w:r>
              <w:rPr>
                <w:rFonts w:ascii="Calibri" w:hAnsi="Calibri"/>
                <w:b/>
                <w:i w:val="0"/>
                <w:color w:val="0A0A0A"/>
                <w:sz w:val="20"/>
              </w:rPr>
              <w:t>5.0</w:t>
            </w:r>
          </w:p>
        </w:tc>
        <w:tc>
          <w:tcPr>
            <w:tcW w:type="dxa" w:w="7370"/>
            <w:shd w:fill="F5F5F5"/>
          </w:tcPr>
          <w:p>
            <w:r>
              <w:rPr>
                <w:rFonts w:ascii="Calibri" w:hAnsi="Calibri"/>
                <w:b/>
                <w:i w:val="0"/>
                <w:color w:val="0A0A0A"/>
                <w:sz w:val="20"/>
              </w:rPr>
              <w:t>Gravel Infill</w:t>
            </w:r>
          </w:p>
        </w:tc>
        <w:tc>
          <w:tcPr>
            <w:tcW w:type="dxa" w:w="1587"/>
            <w:shd w:fill="F5F5F5"/>
          </w:tcPr>
          <w:p>
            <w:pPr>
              <w:jc w:val="right"/>
            </w:pPr>
            <w:r>
              <w:rPr>
                <w:rFonts w:ascii="Calibri" w:hAnsi="Calibri"/>
                <w:b/>
                <w:i w:val="0"/>
                <w:color w:val="0A0A0A"/>
                <w:sz w:val="20"/>
              </w:rPr>
            </w:r>
          </w:p>
        </w:tc>
      </w:tr>
      <w:tr>
        <w:tc>
          <w:tcPr>
            <w:tcW w:type="dxa" w:w="680"/>
          </w:tcPr>
          <w:p>
            <w:r/>
            <w:r>
              <w:rPr>
                <w:rFonts w:ascii="Calibri" w:hAnsi="Calibri"/>
                <w:b/>
                <w:i w:val="0"/>
                <w:color w:val="666666"/>
                <w:sz w:val="18"/>
              </w:rPr>
              <w:t>5.1</w:t>
            </w:r>
          </w:p>
        </w:tc>
        <w:tc>
          <w:tcPr>
            <w:tcW w:type="dxa" w:w="7370"/>
          </w:tcPr>
          <w:p>
            <w:r/>
            <w:r>
              <w:rPr>
                <w:rFonts w:ascii="Calibri" w:hAnsi="Calibri"/>
                <w:b w:val="0"/>
                <w:i w:val="0"/>
                <w:color w:val="333333"/>
                <w:sz w:val="18"/>
              </w:rPr>
              <w:t>Supply, deliver and install approximately 3 tonnes of 20 mm angular gravel to fill grid cells. Levelled flush with top of grid panels and lightly compacted.</w:t>
            </w:r>
          </w:p>
        </w:tc>
        <w:tc>
          <w:tcPr>
            <w:tcW w:type="dxa" w:w="1587"/>
          </w:tcPr>
          <w:p>
            <w:pPr>
              <w:jc w:val="right"/>
            </w:pPr>
            <w:r/>
            <w:r>
              <w:rPr>
                <w:rFonts w:ascii="Calibri" w:hAnsi="Calibri"/>
                <w:b w:val="0"/>
                <w:i w:val="0"/>
                <w:color w:val="0A0A0A"/>
                <w:sz w:val="18"/>
              </w:rPr>
              <w:t>410.00</w:t>
            </w:r>
          </w:p>
        </w:tc>
      </w:tr>
      <w:tr>
        <w:tc>
          <w:tcPr>
            <w:tcW w:type="dxa" w:w="680"/>
            <w:shd w:fill="FAFAFA"/>
            <w:tcBorders>
              <w:top w:val="single" w:sz="4" w:space="0" w:color="CCCCCC"/>
              <w:bottom w:val="single" w:sz="8" w:space="0" w:color="E0E0E0"/>
            </w:tcBorders>
          </w:tcPr>
          <w:p>
            <w:r>
              <w:rPr>
                <w:rFonts w:ascii="Calibri" w:hAnsi="Calibri"/>
                <w:b/>
                <w:i w:val="0"/>
                <w:color w:val="0A0A0A"/>
                <w:sz w:val="18"/>
              </w:rPr>
            </w:r>
          </w:p>
        </w:tc>
        <w:tc>
          <w:tcPr>
            <w:tcW w:type="dxa" w:w="7370"/>
            <w:shd w:fill="FAFAFA"/>
            <w:tcBorders>
              <w:top w:val="single" w:sz="4" w:space="0" w:color="CCCCCC"/>
              <w:bottom w:val="single" w:sz="8" w:space="0" w:color="E0E0E0"/>
            </w:tcBorders>
          </w:tcPr>
          <w:p>
            <w:r>
              <w:rPr>
                <w:rFonts w:ascii="Calibri" w:hAnsi="Calibri"/>
                <w:b/>
                <w:i w:val="0"/>
                <w:color w:val="0A0A0A"/>
                <w:sz w:val="18"/>
              </w:rPr>
              <w:t>Section 5 Subtotal</w:t>
            </w:r>
          </w:p>
        </w:tc>
        <w:tc>
          <w:tcPr>
            <w:tcW w:type="dxa" w:w="1587"/>
            <w:shd w:fill="FAFAFA"/>
            <w:tcBorders>
              <w:top w:val="single" w:sz="4" w:space="0" w:color="CCCCCC"/>
              <w:bottom w:val="single" w:sz="8" w:space="0" w:color="E0E0E0"/>
            </w:tcBorders>
          </w:tcPr>
          <w:p>
            <w:pPr>
              <w:jc w:val="right"/>
            </w:pPr>
            <w:r>
              <w:rPr>
                <w:rFonts w:ascii="Calibri" w:hAnsi="Calibri"/>
                <w:b/>
                <w:i w:val="0"/>
                <w:color w:val="0A0A0A"/>
                <w:sz w:val="18"/>
              </w:rPr>
              <w:t>410.00</w:t>
            </w:r>
          </w:p>
        </w:tc>
      </w:tr>
      <w:tr>
        <w:tc>
          <w:tcPr>
            <w:tcW w:type="dxa" w:w="680"/>
            <w:shd w:fill="F5F5F5"/>
          </w:tcPr>
          <w:p>
            <w:r>
              <w:rPr>
                <w:rFonts w:ascii="Calibri" w:hAnsi="Calibri"/>
                <w:b/>
                <w:i w:val="0"/>
                <w:color w:val="0A0A0A"/>
                <w:sz w:val="20"/>
              </w:rPr>
              <w:t>6.0</w:t>
            </w:r>
          </w:p>
        </w:tc>
        <w:tc>
          <w:tcPr>
            <w:tcW w:type="dxa" w:w="7370"/>
            <w:shd w:fill="F5F5F5"/>
          </w:tcPr>
          <w:p>
            <w:r>
              <w:rPr>
                <w:rFonts w:ascii="Calibri" w:hAnsi="Calibri"/>
                <w:b/>
                <w:i w:val="0"/>
                <w:color w:val="0A0A0A"/>
                <w:sz w:val="20"/>
              </w:rPr>
              <w:t>Granite Kerb Edging</w:t>
            </w:r>
          </w:p>
        </w:tc>
        <w:tc>
          <w:tcPr>
            <w:tcW w:type="dxa" w:w="1587"/>
            <w:shd w:fill="F5F5F5"/>
          </w:tcPr>
          <w:p>
            <w:pPr>
              <w:jc w:val="right"/>
            </w:pPr>
            <w:r>
              <w:rPr>
                <w:rFonts w:ascii="Calibri" w:hAnsi="Calibri"/>
                <w:b/>
                <w:i w:val="0"/>
                <w:color w:val="0A0A0A"/>
                <w:sz w:val="20"/>
              </w:rPr>
            </w:r>
          </w:p>
        </w:tc>
      </w:tr>
      <w:tr>
        <w:tc>
          <w:tcPr>
            <w:tcW w:type="dxa" w:w="680"/>
          </w:tcPr>
          <w:p>
            <w:r/>
            <w:r>
              <w:rPr>
                <w:rFonts w:ascii="Calibri" w:hAnsi="Calibri"/>
                <w:b/>
                <w:i w:val="0"/>
                <w:color w:val="666666"/>
                <w:sz w:val="18"/>
              </w:rPr>
              <w:t>6.1</w:t>
            </w:r>
          </w:p>
        </w:tc>
        <w:tc>
          <w:tcPr>
            <w:tcW w:type="dxa" w:w="7370"/>
          </w:tcPr>
          <w:p>
            <w:r/>
            <w:r>
              <w:rPr>
                <w:rFonts w:ascii="Calibri" w:hAnsi="Calibri"/>
                <w:b w:val="0"/>
                <w:i w:val="0"/>
                <w:color w:val="333333"/>
                <w:sz w:val="18"/>
              </w:rPr>
              <w:t>Install 18 linear metres of granite set kerb edging to perimeter of disabled parking area. Bedded on semi-dry sand/cement mortar with concrete haunch to rear. Line and level throughout. Granite sets supplied by client. All bedding and haunching materials (cement, building sand, concrete) supplied by contractor.</w:t>
            </w:r>
          </w:p>
        </w:tc>
        <w:tc>
          <w:tcPr>
            <w:tcW w:type="dxa" w:w="1587"/>
          </w:tcPr>
          <w:p>
            <w:pPr>
              <w:jc w:val="right"/>
            </w:pPr>
            <w:r/>
            <w:r>
              <w:rPr>
                <w:rFonts w:ascii="Calibri" w:hAnsi="Calibri"/>
                <w:b w:val="0"/>
                <w:i w:val="0"/>
                <w:color w:val="0A0A0A"/>
                <w:sz w:val="18"/>
              </w:rPr>
              <w:t>775.00</w:t>
            </w:r>
          </w:p>
        </w:tc>
      </w:tr>
      <w:tr>
        <w:tc>
          <w:tcPr>
            <w:tcW w:type="dxa" w:w="680"/>
            <w:shd w:fill="FAFAFA"/>
            <w:tcBorders>
              <w:top w:val="single" w:sz="4" w:space="0" w:color="CCCCCC"/>
              <w:bottom w:val="single" w:sz="8" w:space="0" w:color="E0E0E0"/>
            </w:tcBorders>
          </w:tcPr>
          <w:p>
            <w:r>
              <w:rPr>
                <w:rFonts w:ascii="Calibri" w:hAnsi="Calibri"/>
                <w:b/>
                <w:i w:val="0"/>
                <w:color w:val="0A0A0A"/>
                <w:sz w:val="18"/>
              </w:rPr>
            </w:r>
          </w:p>
        </w:tc>
        <w:tc>
          <w:tcPr>
            <w:tcW w:type="dxa" w:w="7370"/>
            <w:shd w:fill="FAFAFA"/>
            <w:tcBorders>
              <w:top w:val="single" w:sz="4" w:space="0" w:color="CCCCCC"/>
              <w:bottom w:val="single" w:sz="8" w:space="0" w:color="E0E0E0"/>
            </w:tcBorders>
          </w:tcPr>
          <w:p>
            <w:r>
              <w:rPr>
                <w:rFonts w:ascii="Calibri" w:hAnsi="Calibri"/>
                <w:b/>
                <w:i w:val="0"/>
                <w:color w:val="0A0A0A"/>
                <w:sz w:val="18"/>
              </w:rPr>
              <w:t>Section 6 Subtotal</w:t>
            </w:r>
          </w:p>
        </w:tc>
        <w:tc>
          <w:tcPr>
            <w:tcW w:type="dxa" w:w="1587"/>
            <w:shd w:fill="FAFAFA"/>
            <w:tcBorders>
              <w:top w:val="single" w:sz="4" w:space="0" w:color="CCCCCC"/>
              <w:bottom w:val="single" w:sz="8" w:space="0" w:color="E0E0E0"/>
            </w:tcBorders>
          </w:tcPr>
          <w:p>
            <w:pPr>
              <w:jc w:val="right"/>
            </w:pPr>
            <w:r>
              <w:rPr>
                <w:rFonts w:ascii="Calibri" w:hAnsi="Calibri"/>
                <w:b/>
                <w:i w:val="0"/>
                <w:color w:val="0A0A0A"/>
                <w:sz w:val="18"/>
              </w:rPr>
              <w:t>775.00</w:t>
            </w:r>
          </w:p>
        </w:tc>
      </w:tr>
      <w:tr>
        <w:tc>
          <w:tcPr>
            <w:tcW w:type="dxa" w:w="680"/>
            <w:shd w:fill="0A0A0A"/>
          </w:tcPr>
          <w:p>
            <w:r>
              <w:rPr>
                <w:rFonts w:ascii="Calibri" w:hAnsi="Calibri"/>
                <w:b/>
                <w:i w:val="0"/>
                <w:color w:val="FFFFFF"/>
                <w:sz w:val="22"/>
              </w:rPr>
            </w:r>
          </w:p>
        </w:tc>
        <w:tc>
          <w:tcPr>
            <w:tcW w:type="dxa" w:w="7370"/>
            <w:shd w:fill="0A0A0A"/>
          </w:tcPr>
          <w:p>
            <w:r>
              <w:rPr>
                <w:rFonts w:ascii="Calibri" w:hAnsi="Calibri"/>
                <w:b/>
                <w:i w:val="0"/>
                <w:color w:val="FFFFFF"/>
                <w:sz w:val="22"/>
              </w:rPr>
              <w:t>Total (excluding VAT)</w:t>
            </w:r>
          </w:p>
        </w:tc>
        <w:tc>
          <w:tcPr>
            <w:tcW w:type="dxa" w:w="1587"/>
            <w:shd w:fill="0A0A0A"/>
          </w:tcPr>
          <w:p>
            <w:pPr>
              <w:jc w:val="right"/>
            </w:pPr>
            <w:r>
              <w:rPr>
                <w:rFonts w:ascii="Calibri" w:hAnsi="Calibri"/>
                <w:b/>
                <w:i w:val="0"/>
                <w:color w:val="F59E0B"/>
                <w:sz w:val="24"/>
              </w:rPr>
              <w:t>£5,700.00</w:t>
            </w:r>
          </w:p>
        </w:tc>
      </w:tr>
      <w:tr>
        <w:tc>
          <w:tcPr>
            <w:tcW w:type="dxa" w:w="680"/>
            <w:shd w:fill="F5F5F5"/>
          </w:tcPr>
          <w:p>
            <w:r>
              <w:rPr>
                <w:rFonts w:ascii="Calibri" w:hAnsi="Calibri"/>
                <w:b/>
                <w:i w:val="0"/>
                <w:color w:val="0A0A0A"/>
                <w:sz w:val="18"/>
              </w:rPr>
            </w:r>
          </w:p>
        </w:tc>
        <w:tc>
          <w:tcPr>
            <w:tcW w:type="dxa" w:w="7370"/>
            <w:shd w:fill="F5F5F5"/>
          </w:tcPr>
          <w:p>
            <w:r>
              <w:rPr>
                <w:rFonts w:ascii="Calibri" w:hAnsi="Calibri"/>
                <w:b/>
                <w:i w:val="0"/>
                <w:color w:val="0A0A0A"/>
                <w:sz w:val="18"/>
              </w:rPr>
              <w:t>VAT @ 20%</w:t>
            </w:r>
          </w:p>
        </w:tc>
        <w:tc>
          <w:tcPr>
            <w:tcW w:type="dxa" w:w="1587"/>
            <w:shd w:fill="F5F5F5"/>
          </w:tcPr>
          <w:p>
            <w:pPr>
              <w:jc w:val="right"/>
            </w:pPr>
            <w:r>
              <w:rPr>
                <w:rFonts w:ascii="Calibri" w:hAnsi="Calibri"/>
                <w:b/>
                <w:i w:val="0"/>
                <w:color w:val="0A0A0A"/>
                <w:sz w:val="18"/>
              </w:rPr>
              <w:t>£1,140.00</w:t>
            </w:r>
          </w:p>
        </w:tc>
      </w:tr>
      <w:tr>
        <w:tc>
          <w:tcPr>
            <w:tcW w:type="dxa" w:w="680"/>
            <w:shd w:fill="F59E0B"/>
          </w:tcPr>
          <w:p>
            <w:r>
              <w:rPr>
                <w:rFonts w:ascii="Calibri" w:hAnsi="Calibri"/>
                <w:b/>
                <w:i w:val="0"/>
                <w:color w:val="0A0A0A"/>
                <w:sz w:val="22"/>
              </w:rPr>
            </w:r>
          </w:p>
        </w:tc>
        <w:tc>
          <w:tcPr>
            <w:tcW w:type="dxa" w:w="7370"/>
            <w:shd w:fill="F59E0B"/>
          </w:tcPr>
          <w:p>
            <w:r>
              <w:rPr>
                <w:rFonts w:ascii="Calibri" w:hAnsi="Calibri"/>
                <w:b/>
                <w:i w:val="0"/>
                <w:color w:val="0A0A0A"/>
                <w:sz w:val="22"/>
              </w:rPr>
              <w:t>Total (including VAT)</w:t>
            </w:r>
          </w:p>
        </w:tc>
        <w:tc>
          <w:tcPr>
            <w:tcW w:type="dxa" w:w="1587"/>
            <w:shd w:fill="F59E0B"/>
          </w:tcPr>
          <w:p>
            <w:pPr>
              <w:jc w:val="right"/>
            </w:pPr>
            <w:r>
              <w:rPr>
                <w:rFonts w:ascii="Calibri" w:hAnsi="Calibri"/>
                <w:b/>
                <w:i w:val="0"/>
                <w:color w:val="0A0A0A"/>
                <w:sz w:val="22"/>
              </w:rPr>
              <w:t>£6,840.00</w:t>
            </w:r>
          </w:p>
        </w:tc>
      </w:tr>
    </w:tbl>
    <w:p/>
    <w:p>
      <w:pPr>
        <w:spacing w:after="120"/>
      </w:pPr>
      <w:r>
        <w:rPr>
          <w:rFonts w:ascii="Calibri" w:hAnsi="Calibri"/>
          <w:b/>
          <w:i w:val="0"/>
          <w:color w:val="0A0A0A"/>
          <w:sz w:val="22"/>
        </w:rPr>
        <w:t>Important Notes</w:t>
      </w:r>
    </w:p>
    <w:tbl>
      <w:tblPr>
        <w:tblW w:type="auto" w:w="0"/>
        <w:jc w:val="center"/>
        <w:tblLook w:firstColumn="1" w:firstRow="1" w:lastColumn="0" w:lastRow="0" w:noHBand="0" w:noVBand="1" w:val="04A0"/>
      </w:tblPr>
      <w:tblGrid>
        <w:gridCol w:w="4819"/>
        <w:gridCol w:w="4819"/>
      </w:tblGrid>
      <w:tr>
        <w:tc>
          <w:tcPr>
            <w:tcW w:type="dxa" w:w="4819"/>
          </w:tcPr>
          <w:p>
            <w:r>
              <w:rPr>
                <w:rFonts w:ascii="Calibri" w:hAnsi="Calibri"/>
                <w:b/>
                <w:i w:val="0"/>
                <w:color w:val="999999"/>
                <w:sz w:val="16"/>
              </w:rPr>
              <w:t>INCLUDED IN THIS QUOTATION</w:t>
            </w:r>
          </w:p>
          <w:p>
            <w:pPr>
              <w:spacing w:after="20"/>
            </w:pPr>
            <w:r>
              <w:rPr>
                <w:rFonts w:ascii="Calibri" w:hAnsi="Calibri"/>
                <w:b w:val="0"/>
                <w:i w:val="0"/>
                <w:color w:val="666666"/>
                <w:sz w:val="17"/>
              </w:rPr>
              <w:t>•  All labour, materials, plant and disposal as described</w:t>
            </w:r>
          </w:p>
          <w:p>
            <w:pPr>
              <w:spacing w:after="20"/>
            </w:pPr>
            <w:r>
              <w:rPr>
                <w:rFonts w:ascii="Calibri" w:hAnsi="Calibri"/>
                <w:b w:val="0"/>
                <w:i w:val="0"/>
                <w:color w:val="666666"/>
                <w:sz w:val="17"/>
              </w:rPr>
              <w:t>•  1.5 tonne mini excavator for duration of works (1 week)</w:t>
            </w:r>
          </w:p>
          <w:p>
            <w:pPr>
              <w:spacing w:after="20"/>
            </w:pPr>
            <w:r>
              <w:rPr>
                <w:rFonts w:ascii="Calibri" w:hAnsi="Calibri"/>
                <w:b w:val="0"/>
                <w:i w:val="0"/>
                <w:color w:val="666666"/>
                <w:sz w:val="17"/>
              </w:rPr>
              <w:t>•  Grab lorry for muck away (1 load)</w:t>
            </w:r>
          </w:p>
          <w:p>
            <w:pPr>
              <w:spacing w:after="20"/>
            </w:pPr>
            <w:r>
              <w:rPr>
                <w:rFonts w:ascii="Calibri" w:hAnsi="Calibri"/>
                <w:b w:val="0"/>
                <w:i w:val="0"/>
                <w:color w:val="666666"/>
                <w:sz w:val="17"/>
              </w:rPr>
              <w:t>•  10 tonnes MOT Type 1 aggregate delivered</w:t>
            </w:r>
          </w:p>
          <w:p>
            <w:pPr>
              <w:spacing w:after="20"/>
            </w:pPr>
            <w:r>
              <w:rPr>
                <w:rFonts w:ascii="Calibri" w:hAnsi="Calibri"/>
                <w:b w:val="0"/>
                <w:i w:val="0"/>
                <w:color w:val="666666"/>
                <w:sz w:val="17"/>
              </w:rPr>
              <w:t>•  All bedding materials for granite kerb installation</w:t>
            </w:r>
          </w:p>
          <w:p>
            <w:pPr>
              <w:spacing w:after="20"/>
            </w:pPr>
            <w:r>
              <w:rPr>
                <w:rFonts w:ascii="Calibri" w:hAnsi="Calibri"/>
                <w:b w:val="0"/>
                <w:i w:val="0"/>
                <w:color w:val="666666"/>
                <w:sz w:val="17"/>
              </w:rPr>
              <w:t>•  Commercial-grade gravel grids for vehicular and disabled access</w:t>
            </w:r>
          </w:p>
          <w:p>
            <w:pPr>
              <w:spacing w:after="20"/>
            </w:pPr>
            <w:r>
              <w:rPr>
                <w:rFonts w:ascii="Calibri" w:hAnsi="Calibri"/>
                <w:b w:val="0"/>
                <w:i w:val="0"/>
                <w:color w:val="666666"/>
                <w:sz w:val="17"/>
              </w:rPr>
              <w:t>•  Approx. 3 tonnes of 20 mm gravel infill</w:t>
            </w:r>
          </w:p>
        </w:tc>
        <w:tc>
          <w:tcPr>
            <w:tcW w:type="dxa" w:w="4819"/>
          </w:tcPr>
          <w:p>
            <w:r>
              <w:rPr>
                <w:rFonts w:ascii="Calibri" w:hAnsi="Calibri"/>
                <w:b/>
                <w:i w:val="0"/>
                <w:color w:val="999999"/>
                <w:sz w:val="16"/>
              </w:rPr>
              <w:t>EXCLUDED / BY OTHERS</w:t>
            </w:r>
          </w:p>
          <w:p>
            <w:pPr>
              <w:spacing w:after="20"/>
            </w:pPr>
            <w:r>
              <w:rPr>
                <w:rFonts w:ascii="Calibri" w:hAnsi="Calibri"/>
                <w:b w:val="0"/>
                <w:i w:val="0"/>
                <w:color w:val="666666"/>
                <w:sz w:val="17"/>
              </w:rPr>
              <w:t>•  Site electrics, water supply and welfare facilities (by client)</w:t>
            </w:r>
          </w:p>
          <w:p>
            <w:pPr>
              <w:spacing w:after="20"/>
            </w:pPr>
            <w:r>
              <w:rPr>
                <w:rFonts w:ascii="Calibri" w:hAnsi="Calibri"/>
                <w:b w:val="0"/>
                <w:i w:val="0"/>
                <w:color w:val="666666"/>
                <w:sz w:val="17"/>
              </w:rPr>
              <w:t>•  Granite kerb sets (provided by client, on site)</w:t>
            </w:r>
          </w:p>
          <w:p>
            <w:pPr>
              <w:spacing w:after="20"/>
            </w:pPr>
            <w:r>
              <w:rPr>
                <w:rFonts w:ascii="Calibri" w:hAnsi="Calibri"/>
                <w:b w:val="0"/>
                <w:i w:val="0"/>
                <w:color w:val="666666"/>
                <w:sz w:val="17"/>
              </w:rPr>
              <w:t>•  Disabled parking signage, road markings and bay delineation</w:t>
            </w:r>
          </w:p>
          <w:p>
            <w:pPr>
              <w:spacing w:after="20"/>
            </w:pPr>
            <w:r>
              <w:rPr>
                <w:rFonts w:ascii="Calibri" w:hAnsi="Calibri"/>
                <w:b w:val="0"/>
                <w:i w:val="0"/>
                <w:color w:val="666666"/>
                <w:sz w:val="17"/>
              </w:rPr>
              <w:t>•  Any additional drainage works not described</w:t>
            </w:r>
          </w:p>
          <w:p>
            <w:pPr>
              <w:spacing w:after="20"/>
            </w:pPr>
            <w:r>
              <w:rPr>
                <w:rFonts w:ascii="Calibri" w:hAnsi="Calibri"/>
                <w:b w:val="0"/>
                <w:i w:val="0"/>
                <w:color w:val="666666"/>
                <w:sz w:val="17"/>
              </w:rPr>
              <w:t>•  Service diversions or protection works beyond hand-digging</w:t>
            </w:r>
          </w:p>
          <w:p>
            <w:pPr>
              <w:spacing w:after="20"/>
            </w:pPr>
            <w:r>
              <w:rPr>
                <w:rFonts w:ascii="Calibri" w:hAnsi="Calibri"/>
                <w:b w:val="0"/>
                <w:i w:val="0"/>
                <w:color w:val="666666"/>
                <w:sz w:val="17"/>
              </w:rPr>
              <w:t>•  Additional loads of Type 1 if 10 tonnes proves insufficient</w:t>
            </w:r>
          </w:p>
          <w:p>
            <w:pPr>
              <w:spacing w:after="20"/>
            </w:pPr>
            <w:r>
              <w:rPr>
                <w:rFonts w:ascii="Calibri" w:hAnsi="Calibri"/>
                <w:b w:val="0"/>
                <w:i w:val="0"/>
                <w:color w:val="666666"/>
                <w:sz w:val="17"/>
              </w:rPr>
              <w:t>•  Any works to surfaces beyond the 40 m² area</w:t>
            </w:r>
          </w:p>
        </w:tc>
      </w:tr>
    </w:tbl>
    <w:p/>
    <w:p>
      <w:pPr>
        <w:spacing w:after="120"/>
      </w:pPr>
      <w:r>
        <w:rPr>
          <w:rFonts w:ascii="Calibri" w:hAnsi="Calibri"/>
          <w:b/>
          <w:i w:val="0"/>
          <w:color w:val="0A0A0A"/>
          <w:sz w:val="22"/>
        </w:rPr>
        <w:t>Assumptions &amp; Advisory Notes</w:t>
      </w:r>
    </w:p>
    <w:p>
      <w:pPr>
        <w:spacing w:after="80"/>
      </w:pPr>
      <w:r>
        <w:rPr>
          <w:rFonts w:ascii="Calibri" w:hAnsi="Calibri"/>
          <w:b/>
          <w:i w:val="0"/>
          <w:color w:val="0A0A0A"/>
          <w:sz w:val="18"/>
        </w:rPr>
        <w:t xml:space="preserve">Type 1 Quantity: </w:t>
      </w:r>
      <w:r>
        <w:rPr>
          <w:rFonts w:ascii="Calibri" w:hAnsi="Calibri"/>
          <w:b w:val="0"/>
          <w:i w:val="0"/>
          <w:color w:val="666666"/>
          <w:sz w:val="18"/>
        </w:rPr>
        <w:t>10 tonnes of Type 1 at a compacted density of approx. 1.9 t/m³ will yield approximately 5.3 m³ loose, compacting to around 4.2 m³ or roughly 105 mm depth over 40 m². To achieve the full 150 mm compacted depth, approximately 14 tonnes may be required. We have priced a single 10-tonne load as instructed; an additional delivery can be arranged at cost if required on site.</w:t>
      </w:r>
    </w:p>
    <w:p>
      <w:pPr>
        <w:spacing w:after="80"/>
      </w:pPr>
      <w:r>
        <w:rPr>
          <w:rFonts w:ascii="Calibri" w:hAnsi="Calibri"/>
          <w:b/>
          <w:i w:val="0"/>
          <w:color w:val="0A0A0A"/>
          <w:sz w:val="18"/>
        </w:rPr>
        <w:t xml:space="preserve">Underground Services: </w:t>
      </w:r>
      <w:r>
        <w:rPr>
          <w:rFonts w:ascii="Calibri" w:hAnsi="Calibri"/>
          <w:b w:val="0"/>
          <w:i w:val="0"/>
          <w:color w:val="666666"/>
          <w:sz w:val="18"/>
        </w:rPr>
        <w:t>We have allowed for careful hand-digging around known services. Should any unforeseen services, obstructions or ground conditions (e.g. rock, contaminated soil, high water table) be encountered, additional costs may apply and will be agreed before proceeding.</w:t>
      </w:r>
    </w:p>
    <w:p>
      <w:pPr>
        <w:spacing w:after="80"/>
      </w:pPr>
      <w:r>
        <w:rPr>
          <w:rFonts w:ascii="Calibri" w:hAnsi="Calibri"/>
          <w:b/>
          <w:i w:val="0"/>
          <w:color w:val="0A0A0A"/>
          <w:sz w:val="18"/>
        </w:rPr>
        <w:t xml:space="preserve">Access: </w:t>
      </w:r>
      <w:r>
        <w:rPr>
          <w:rFonts w:ascii="Calibri" w:hAnsi="Calibri"/>
          <w:b w:val="0"/>
          <w:i w:val="0"/>
          <w:color w:val="666666"/>
          <w:sz w:val="18"/>
        </w:rPr>
        <w:t>Quotation assumes adequate vehicle access for a grab lorry and aggregate delivery vehicle to reach the works area.</w:t>
      </w:r>
    </w:p>
    <w:p/>
    <w:p>
      <w:pPr>
        <w:spacing w:after="120"/>
      </w:pPr>
      <w:r>
        <w:rPr>
          <w:rFonts w:ascii="Calibri" w:hAnsi="Calibri"/>
          <w:b/>
          <w:i w:val="0"/>
          <w:color w:val="0A0A0A"/>
          <w:sz w:val="22"/>
        </w:rPr>
        <w:t>Terms &amp; Conditions</w:t>
      </w:r>
    </w:p>
    <w:p>
      <w:pPr>
        <w:spacing w:after="40"/>
      </w:pPr>
      <w:r>
        <w:rPr>
          <w:rFonts w:ascii="Calibri" w:hAnsi="Calibri"/>
          <w:b/>
          <w:i w:val="0"/>
          <w:color w:val="666666"/>
          <w:sz w:val="17"/>
        </w:rPr>
        <w:t xml:space="preserve">1.  </w:t>
      </w:r>
      <w:r>
        <w:rPr>
          <w:rFonts w:ascii="Calibri" w:hAnsi="Calibri"/>
          <w:b w:val="0"/>
          <w:i w:val="0"/>
          <w:color w:val="666666"/>
          <w:sz w:val="17"/>
        </w:rPr>
        <w:t>This quotation is valid for 30 days from the date shown above.</w:t>
      </w:r>
    </w:p>
    <w:p>
      <w:pPr>
        <w:spacing w:after="40"/>
      </w:pPr>
      <w:r>
        <w:rPr>
          <w:rFonts w:ascii="Calibri" w:hAnsi="Calibri"/>
          <w:b/>
          <w:i w:val="0"/>
          <w:color w:val="666666"/>
          <w:sz w:val="17"/>
        </w:rPr>
        <w:t xml:space="preserve">2.  </w:t>
      </w:r>
      <w:r>
        <w:rPr>
          <w:rFonts w:ascii="Calibri" w:hAnsi="Calibri"/>
          <w:b w:val="0"/>
          <w:i w:val="0"/>
          <w:color w:val="666666"/>
          <w:sz w:val="17"/>
        </w:rPr>
        <w:t>All prices are in pounds sterling (£ GBP). VAT is charged at the prevailing rate (currently 20%).</w:t>
      </w:r>
    </w:p>
    <w:p>
      <w:pPr>
        <w:spacing w:after="40"/>
      </w:pPr>
      <w:r>
        <w:rPr>
          <w:rFonts w:ascii="Calibri" w:hAnsi="Calibri"/>
          <w:b/>
          <w:i w:val="0"/>
          <w:color w:val="666666"/>
          <w:sz w:val="17"/>
        </w:rPr>
        <w:t xml:space="preserve">3.  </w:t>
      </w:r>
      <w:r>
        <w:rPr>
          <w:rFonts w:ascii="Calibri" w:hAnsi="Calibri"/>
          <w:b w:val="0"/>
          <w:i w:val="0"/>
          <w:color w:val="666666"/>
          <w:sz w:val="17"/>
        </w:rPr>
        <w:t>Payment terms: 50% deposit on acceptance of quotation; balance due on completion of works.</w:t>
      </w:r>
    </w:p>
    <w:p>
      <w:pPr>
        <w:spacing w:after="40"/>
      </w:pPr>
      <w:r>
        <w:rPr>
          <w:rFonts w:ascii="Calibri" w:hAnsi="Calibri"/>
          <w:b/>
          <w:i w:val="0"/>
          <w:color w:val="666666"/>
          <w:sz w:val="17"/>
        </w:rPr>
        <w:t xml:space="preserve">4.  </w:t>
      </w:r>
      <w:r>
        <w:rPr>
          <w:rFonts w:ascii="Calibri" w:hAnsi="Calibri"/>
          <w:b w:val="0"/>
          <w:i w:val="0"/>
          <w:color w:val="666666"/>
          <w:sz w:val="17"/>
        </w:rPr>
        <w:t>The estimated programme is approximately 5 working days, subject to weather and site conditions.</w:t>
      </w:r>
    </w:p>
    <w:p>
      <w:pPr>
        <w:spacing w:after="40"/>
      </w:pPr>
      <w:r>
        <w:rPr>
          <w:rFonts w:ascii="Calibri" w:hAnsi="Calibri"/>
          <w:b/>
          <w:i w:val="0"/>
          <w:color w:val="666666"/>
          <w:sz w:val="17"/>
        </w:rPr>
        <w:t xml:space="preserve">5.  </w:t>
      </w:r>
      <w:r>
        <w:rPr>
          <w:rFonts w:ascii="Calibri" w:hAnsi="Calibri"/>
          <w:b w:val="0"/>
          <w:i w:val="0"/>
          <w:color w:val="666666"/>
          <w:sz w:val="17"/>
        </w:rPr>
        <w:t>Any variations to the described scope of works will be agreed in writing before commencement and may result in additional costs.</w:t>
      </w:r>
    </w:p>
    <w:p>
      <w:pPr>
        <w:spacing w:after="40"/>
      </w:pPr>
      <w:r>
        <w:rPr>
          <w:rFonts w:ascii="Calibri" w:hAnsi="Calibri"/>
          <w:b/>
          <w:i w:val="0"/>
          <w:color w:val="666666"/>
          <w:sz w:val="17"/>
        </w:rPr>
        <w:t xml:space="preserve">6.  </w:t>
      </w:r>
      <w:r>
        <w:rPr>
          <w:rFonts w:ascii="Calibri" w:hAnsi="Calibri"/>
          <w:b w:val="0"/>
          <w:i w:val="0"/>
          <w:color w:val="666666"/>
          <w:sz w:val="17"/>
        </w:rPr>
        <w:t>PF &amp; Co Construction Ltd holds full public liability insurance and employer's liability insurance. Certificates available on request.</w:t>
      </w:r>
    </w:p>
    <w:p>
      <w:pPr>
        <w:spacing w:after="40"/>
      </w:pPr>
      <w:r>
        <w:rPr>
          <w:rFonts w:ascii="Calibri" w:hAnsi="Calibri"/>
          <w:b/>
          <w:i w:val="0"/>
          <w:color w:val="666666"/>
          <w:sz w:val="17"/>
        </w:rPr>
        <w:t xml:space="preserve">7.  </w:t>
      </w:r>
      <w:r>
        <w:rPr>
          <w:rFonts w:ascii="Calibri" w:hAnsi="Calibri"/>
          <w:b w:val="0"/>
          <w:i w:val="0"/>
          <w:color w:val="666666"/>
          <w:sz w:val="17"/>
        </w:rPr>
        <w:t>Works will be carried out in accordance with all relevant Building Regulations, British Standards and CDM Regulations where applicable.</w:t>
      </w:r>
    </w:p>
    <w:p>
      <w:pPr>
        <w:spacing w:after="40"/>
      </w:pPr>
      <w:r>
        <w:rPr>
          <w:rFonts w:ascii="Calibri" w:hAnsi="Calibri"/>
          <w:b/>
          <w:i w:val="0"/>
          <w:color w:val="666666"/>
          <w:sz w:val="17"/>
        </w:rPr>
        <w:t xml:space="preserve">8.  </w:t>
      </w:r>
      <w:r>
        <w:rPr>
          <w:rFonts w:ascii="Calibri" w:hAnsi="Calibri"/>
          <w:b w:val="0"/>
          <w:i w:val="0"/>
          <w:color w:val="666666"/>
          <w:sz w:val="17"/>
        </w:rPr>
        <w:t>The client is responsible for obtaining any necessary planning permissions or consents prior to commencement.</w:t>
      </w:r>
    </w:p>
    <w:p>
      <w:pPr>
        <w:spacing w:after="40"/>
      </w:pPr>
      <w:r>
        <w:rPr>
          <w:rFonts w:ascii="Calibri" w:hAnsi="Calibri"/>
          <w:b/>
          <w:i w:val="0"/>
          <w:color w:val="666666"/>
          <w:sz w:val="17"/>
        </w:rPr>
        <w:t xml:space="preserve">9.  </w:t>
      </w:r>
      <w:r>
        <w:rPr>
          <w:rFonts w:ascii="Calibri" w:hAnsi="Calibri"/>
          <w:b w:val="0"/>
          <w:i w:val="0"/>
          <w:color w:val="666666"/>
          <w:sz w:val="17"/>
        </w:rPr>
        <w:t>We reserve the right to sub-contract specialist elements of the works where necessary.</w:t>
      </w:r>
    </w:p>
    <w:p>
      <w:pPr>
        <w:spacing w:after="40"/>
      </w:pPr>
      <w:r>
        <w:rPr>
          <w:rFonts w:ascii="Calibri" w:hAnsi="Calibri"/>
          <w:b/>
          <w:i w:val="0"/>
          <w:color w:val="666666"/>
          <w:sz w:val="17"/>
        </w:rPr>
        <w:t xml:space="preserve">10.  </w:t>
      </w:r>
      <w:r>
        <w:rPr>
          <w:rFonts w:ascii="Calibri" w:hAnsi="Calibri"/>
          <w:b w:val="0"/>
          <w:i w:val="0"/>
          <w:color w:val="666666"/>
          <w:sz w:val="17"/>
        </w:rPr>
        <w:t>This quotation is subject to the full terms and conditions of PF &amp; Co Construction Ltd, available on request.</w:t>
      </w:r>
    </w:p>
    <w:p/>
    <w:p>
      <w:pPr>
        <w:spacing w:after="120"/>
      </w:pPr>
      <w:r>
        <w:rPr>
          <w:rFonts w:ascii="Calibri" w:hAnsi="Calibri"/>
          <w:b/>
          <w:i w:val="0"/>
          <w:color w:val="0A0A0A"/>
          <w:sz w:val="22"/>
        </w:rPr>
        <w:t>Acceptance</w:t>
      </w:r>
    </w:p>
    <w:p>
      <w:pPr>
        <w:spacing w:after="320"/>
      </w:pPr>
      <w:r>
        <w:rPr>
          <w:rFonts w:ascii="Calibri" w:hAnsi="Calibri"/>
          <w:b w:val="0"/>
          <w:i w:val="0"/>
          <w:color w:val="666666"/>
          <w:sz w:val="18"/>
        </w:rPr>
        <w:t>I/we accept this quotation and authorise PF &amp; Co Construction Ltd to proceed with the works as described above.</w:t>
      </w:r>
    </w:p>
    <w:tbl>
      <w:tblPr>
        <w:tblW w:type="auto" w:w="0"/>
        <w:jc w:val="center"/>
        <w:tblLook w:firstColumn="1" w:firstRow="1" w:lastColumn="0" w:lastRow="0" w:noHBand="0" w:noVBand="1" w:val="04A0"/>
      </w:tblPr>
      <w:tblGrid>
        <w:gridCol w:w="4819"/>
        <w:gridCol w:w="4819"/>
      </w:tblGrid>
      <w:tr>
        <w:tc>
          <w:tcPr>
            <w:tcW w:type="dxa" w:w="4819"/>
            <w:tcBorders>
              <w:bottom w:val="single" w:sz="4" w:space="0" w:color="CCCCCC"/>
            </w:tcBorders>
          </w:tcPr>
          <w:p>
            <w:pPr>
              <w:spacing w:before="480"/>
            </w:pPr>
            <w:r>
              <w:rPr>
                <w:rFonts w:ascii="Calibri" w:hAnsi="Calibri"/>
                <w:b w:val="0"/>
                <w:i w:val="0"/>
                <w:sz w:val="18"/>
              </w:rPr>
            </w:r>
          </w:p>
          <w:p>
            <w:r>
              <w:rPr>
                <w:rFonts w:ascii="Calibri" w:hAnsi="Calibri"/>
                <w:b w:val="0"/>
                <w:i w:val="0"/>
                <w:color w:val="999999"/>
                <w:sz w:val="16"/>
              </w:rPr>
              <w:t>Signed (Client)</w:t>
            </w:r>
          </w:p>
        </w:tc>
        <w:tc>
          <w:tcPr>
            <w:tcW w:type="dxa" w:w="4819"/>
            <w:tcBorders>
              <w:bottom w:val="single" w:sz="4" w:space="0" w:color="CCCCCC"/>
            </w:tcBorders>
          </w:tcPr>
          <w:p>
            <w:pPr>
              <w:spacing w:before="480"/>
            </w:pPr>
            <w:r>
              <w:rPr>
                <w:rFonts w:ascii="Calibri" w:hAnsi="Calibri"/>
                <w:b w:val="0"/>
                <w:i w:val="0"/>
                <w:sz w:val="18"/>
              </w:rPr>
            </w:r>
          </w:p>
          <w:p>
            <w:r>
              <w:rPr>
                <w:rFonts w:ascii="Calibri" w:hAnsi="Calibri"/>
                <w:b w:val="0"/>
                <w:i w:val="0"/>
                <w:color w:val="999999"/>
                <w:sz w:val="16"/>
              </w:rPr>
              <w:t>Position / Authority</w:t>
            </w:r>
          </w:p>
        </w:tc>
      </w:tr>
      <w:tr>
        <w:tc>
          <w:tcPr>
            <w:tcW w:type="dxa" w:w="4819"/>
            <w:tcBorders>
              <w:bottom w:val="single" w:sz="4" w:space="0" w:color="CCCCCC"/>
            </w:tcBorders>
          </w:tcPr>
          <w:p>
            <w:pPr>
              <w:spacing w:before="480"/>
            </w:pPr>
            <w:r>
              <w:rPr>
                <w:rFonts w:ascii="Calibri" w:hAnsi="Calibri"/>
                <w:b w:val="0"/>
                <w:i w:val="0"/>
                <w:sz w:val="18"/>
              </w:rPr>
            </w:r>
          </w:p>
          <w:p>
            <w:r>
              <w:rPr>
                <w:rFonts w:ascii="Calibri" w:hAnsi="Calibri"/>
                <w:b w:val="0"/>
                <w:i w:val="0"/>
                <w:color w:val="999999"/>
                <w:sz w:val="16"/>
              </w:rPr>
              <w:t>Print Name</w:t>
            </w:r>
          </w:p>
        </w:tc>
        <w:tc>
          <w:tcPr>
            <w:tcW w:type="dxa" w:w="4819"/>
            <w:tcBorders>
              <w:bottom w:val="single" w:sz="4" w:space="0" w:color="CCCCCC"/>
            </w:tcBorders>
          </w:tcPr>
          <w:p>
            <w:pPr>
              <w:spacing w:before="480"/>
            </w:pPr>
            <w:r>
              <w:rPr>
                <w:rFonts w:ascii="Calibri" w:hAnsi="Calibri"/>
                <w:b w:val="0"/>
                <w:i w:val="0"/>
                <w:sz w:val="18"/>
              </w:rPr>
            </w:r>
          </w:p>
          <w:p>
            <w:r>
              <w:rPr>
                <w:rFonts w:ascii="Calibri" w:hAnsi="Calibri"/>
                <w:b w:val="0"/>
                <w:i w:val="0"/>
                <w:color w:val="999999"/>
                <w:sz w:val="16"/>
              </w:rPr>
              <w:t>Date</w:t>
            </w:r>
          </w:p>
        </w:tc>
      </w:tr>
    </w:tbl>
    <w:p/>
    <w:tbl>
      <w:tblPr>
        <w:tblW w:type="auto" w:w="0"/>
        <w:jc w:val="center"/>
        <w:tblLook w:firstColumn="1" w:firstRow="1" w:lastColumn="0" w:lastRow="0" w:noHBand="0" w:noVBand="1" w:val="04A0"/>
      </w:tblPr>
      <w:tblGrid>
        <w:gridCol w:w="9638"/>
      </w:tblGrid>
      <w:tr>
        <w:trPr>
          <w:trHeight w:val="56" w:hRule="atLeast"/>
        </w:trPr>
        <w:tc>
          <w:tcPr>
            <w:tcW w:type="dxa" w:w="9638"/>
            <w:shd w:fill="F59E0B"/>
          </w:tcPr>
          <w:p>
            <w:r/>
          </w:p>
        </w:tc>
      </w:tr>
    </w:tbl>
    <w:p>
      <w:pPr>
        <w:spacing w:before="120"/>
        <w:jc w:val="center"/>
      </w:pPr>
      <w:r>
        <w:rPr>
          <w:rFonts w:ascii="Calibri" w:hAnsi="Calibri"/>
          <w:b/>
          <w:i w:val="0"/>
          <w:color w:val="666666"/>
          <w:sz w:val="16"/>
        </w:rPr>
        <w:t>PF &amp; Co Construction Ltd</w:t>
      </w:r>
      <w:r>
        <w:rPr>
          <w:rFonts w:ascii="Calibri" w:hAnsi="Calibri"/>
          <w:b w:val="0"/>
          <w:i w:val="0"/>
          <w:color w:val="999999"/>
          <w:sz w:val="16"/>
        </w:rPr>
        <w:t xml:space="preserve">  |  01483 363 210  |  info@pfcoconstruction.co.uk  |  www.pfcoconstruction.co.uk</w:t>
      </w:r>
    </w:p>
    <w:p>
      <w:pPr>
        <w:jc w:val="center"/>
      </w:pPr>
      <w:r>
        <w:rPr>
          <w:rFonts w:ascii="Calibri" w:hAnsi="Calibri"/>
          <w:b w:val="0"/>
          <w:i w:val="0"/>
          <w:color w:val="999999"/>
          <w:sz w:val="14"/>
        </w:rPr>
        <w:t>Registered in England &amp; Wales  |  © 2020–2026 PF &amp; Co Construction Ltd. All Rights Reserved.</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