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Billing and Payment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Process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Process Overview</w:t>
      </w:r>
    </w:p>
    <w:p>
      <w:pPr>
        <w:pStyle w:val="ListBullet"/>
      </w:pPr>
      <w:r>
        <w:t>Defines the process for invoicing customers and collecting payments.</w:t>
      </w:r>
    </w:p>
    <w:p>
      <w:pPr>
        <w:pStyle w:val="Heading2"/>
      </w:pPr>
      <w:r>
        <w:t>2. Billing Strategy</w:t>
      </w:r>
    </w:p>
    <w:p>
      <w:pPr>
        <w:pStyle w:val="ListBullet"/>
      </w:pPr>
      <w:r>
        <w:t>2.1 50% deposit upon order confirmation</w:t>
      </w:r>
    </w:p>
    <w:p>
      <w:pPr>
        <w:pStyle w:val="ListBullet"/>
      </w:pPr>
      <w:r>
        <w:t>2.2 30% upon BOM approval</w:t>
      </w:r>
    </w:p>
    <w:p>
      <w:pPr>
        <w:pStyle w:val="ListBullet"/>
      </w:pPr>
      <w:r>
        <w:t>2.3 15% upon component receipt</w:t>
      </w:r>
    </w:p>
    <w:p>
      <w:pPr>
        <w:pStyle w:val="ListBullet"/>
      </w:pPr>
      <w:r>
        <w:t>2.4 5% upon final delivery and customer acceptance</w:t>
      </w:r>
    </w:p>
    <w:p>
      <w:pPr>
        <w:pStyle w:val="Heading2"/>
      </w:pPr>
      <w:r>
        <w:t>3. Invoice Generation</w:t>
      </w:r>
    </w:p>
    <w:p>
      <w:pPr>
        <w:pStyle w:val="ListBullet"/>
      </w:pPr>
      <w:r>
        <w:t>3.1 Automatic invoice creation at billing milestones</w:t>
      </w:r>
    </w:p>
    <w:p>
      <w:pPr>
        <w:pStyle w:val="ListBullet"/>
      </w:pPr>
      <w:r>
        <w:t>3.2 Invoice validation and approval</w:t>
      </w:r>
    </w:p>
    <w:p>
      <w:pPr>
        <w:pStyle w:val="ListBullet"/>
      </w:pPr>
      <w:r>
        <w:t>3.3 Customer invoice delivery</w:t>
      </w:r>
    </w:p>
    <w:p>
      <w:pPr>
        <w:pStyle w:val="ListBullet"/>
      </w:pPr>
      <w:r>
        <w:t>3.4 Payment terms enforcement (Net 30)</w:t>
      </w:r>
    </w:p>
    <w:p>
      <w:pPr>
        <w:pStyle w:val="Heading2"/>
      </w:pPr>
      <w:r>
        <w:t>4. Payment Collection</w:t>
      </w:r>
    </w:p>
    <w:p>
      <w:pPr>
        <w:pStyle w:val="ListBullet"/>
      </w:pPr>
      <w:r>
        <w:t>4.1 Payment receipt and allocation</w:t>
      </w:r>
    </w:p>
    <w:p>
      <w:pPr>
        <w:pStyle w:val="ListBullet"/>
      </w:pPr>
      <w:r>
        <w:t>4.2 Payment reconciliation</w:t>
      </w:r>
    </w:p>
    <w:p>
      <w:pPr>
        <w:pStyle w:val="ListBullet"/>
      </w:pPr>
      <w:r>
        <w:t>4.3 Late payment management</w:t>
      </w:r>
    </w:p>
    <w:p>
      <w:pPr>
        <w:pStyle w:val="ListBullet"/>
      </w:pPr>
      <w:r>
        <w:t>4.4 Dispute handling and credit notes</w:t>
      </w:r>
    </w:p>
    <w:p>
      <w:pPr>
        <w:pStyle w:val="Heading2"/>
      </w:pPr>
      <w:r>
        <w:t>5. Financial Reporting</w:t>
      </w:r>
    </w:p>
    <w:p>
      <w:pPr>
        <w:pStyle w:val="ListBullet"/>
      </w:pPr>
      <w:r>
        <w:t>5.1 Revenue recognition</w:t>
      </w:r>
    </w:p>
    <w:p>
      <w:pPr>
        <w:pStyle w:val="ListBullet"/>
      </w:pPr>
      <w:r>
        <w:t>5.2 Accounts receivable aging</w:t>
      </w:r>
    </w:p>
    <w:p>
      <w:pPr>
        <w:pStyle w:val="ListBullet"/>
      </w:pPr>
      <w:r>
        <w:t>5.3 Collection rate reporting</w:t>
      </w:r>
    </w:p>
    <w:p>
      <w:pPr>
        <w:pStyle w:val="ListBullet"/>
      </w:pPr>
      <w:r>
        <w:t>5.4 Financial forecasting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