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Engineering Firm Custom Electric Engine Order System - Business Case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BusinessCase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Investment Summary</w:t>
      </w:r>
    </w:p>
    <w:p>
      <w:pPr>
        <w:pStyle w:val="ListBullet"/>
      </w:pPr>
      <w:r>
        <w:t>Estimated Investment: $500K - $750K</w:t>
      </w:r>
    </w:p>
    <w:p>
      <w:pPr>
        <w:pStyle w:val="ListBullet"/>
      </w:pPr>
      <w:r>
        <w:t>Expected ROI: 150-200% over 3 years</w:t>
      </w:r>
    </w:p>
    <w:p>
      <w:pPr>
        <w:pStyle w:val="ListBullet"/>
      </w:pPr>
      <w:r>
        <w:t>Payback Period: 18-24 months</w:t>
      </w:r>
    </w:p>
    <w:p>
      <w:pPr>
        <w:pStyle w:val="Heading2"/>
      </w:pPr>
      <w:r>
        <w:t>2. Current Pain Points</w:t>
      </w:r>
    </w:p>
    <w:p>
      <w:pPr>
        <w:pStyle w:val="ListBullet"/>
      </w:pPr>
      <w:r>
        <w:t>Manual order processing - 4-6 days per order</w:t>
      </w:r>
    </w:p>
    <w:p>
      <w:pPr>
        <w:pStyle w:val="ListBullet"/>
      </w:pPr>
      <w:r>
        <w:t>Frequent errors in BOM and specifications</w:t>
      </w:r>
    </w:p>
    <w:p>
      <w:pPr>
        <w:pStyle w:val="ListBullet"/>
      </w:pPr>
      <w:r>
        <w:t>Supplier coordination challenges</w:t>
      </w:r>
    </w:p>
    <w:p>
      <w:pPr>
        <w:pStyle w:val="ListBullet"/>
      </w:pPr>
      <w:r>
        <w:t>Delayed billing and payment collection</w:t>
      </w:r>
    </w:p>
    <w:p>
      <w:pPr>
        <w:pStyle w:val="ListBullet"/>
      </w:pPr>
      <w:r>
        <w:t>Poor visibility into order status</w:t>
      </w:r>
    </w:p>
    <w:p>
      <w:pPr>
        <w:pStyle w:val="Heading2"/>
      </w:pPr>
      <w:r>
        <w:t>3. Expected Benefits</w:t>
      </w:r>
    </w:p>
    <w:p>
      <w:pPr>
        <w:pStyle w:val="ListBullet"/>
      </w:pPr>
      <w:r>
        <w:t>Cost Savings: 30-40% reduction in processing labor</w:t>
      </w:r>
    </w:p>
    <w:p>
      <w:pPr>
        <w:pStyle w:val="ListBullet"/>
      </w:pPr>
      <w:r>
        <w:t>Revenue Impact: Faster turnaround enables 20% more orders annually</w:t>
      </w:r>
    </w:p>
    <w:p>
      <w:pPr>
        <w:pStyle w:val="ListBullet"/>
      </w:pPr>
      <w:r>
        <w:t>Margin Improvement: Better supplier negotiation saves 5-8%</w:t>
      </w:r>
    </w:p>
    <w:p>
      <w:pPr>
        <w:pStyle w:val="ListBullet"/>
      </w:pPr>
      <w:r>
        <w:t>Working Capital Improvement: Faster payment collection improves cash flow by $2M+</w:t>
      </w:r>
    </w:p>
    <w:p>
      <w:pPr>
        <w:pStyle w:val="Heading2"/>
      </w:pPr>
      <w:r>
        <w:t>4. Risk Assessment</w:t>
      </w:r>
    </w:p>
    <w:p>
      <w:pPr>
        <w:pStyle w:val="ListBullet"/>
      </w:pPr>
      <w:r>
        <w:t>4.1 Implementation Risk: Medium - standard technology stack</w:t>
      </w:r>
    </w:p>
    <w:p>
      <w:pPr>
        <w:pStyle w:val="ListBullet"/>
      </w:pPr>
      <w:r>
        <w:t>4.2 User Adoption: Medium - comprehensive training program planned</w:t>
      </w:r>
    </w:p>
    <w:p>
      <w:pPr>
        <w:pStyle w:val="ListBullet"/>
      </w:pPr>
      <w:r>
        <w:t>4.3 Data Migration: Medium - legacy system data conversion required</w:t>
      </w:r>
    </w:p>
    <w:p>
      <w:pPr>
        <w:pStyle w:val="ListBullet"/>
      </w:pPr>
      <w:r>
        <w:t>4.4 Mitigation Strategies: Phased roll-out, dedicated change management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