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AA11" w14:textId="77777777" w:rsidR="00B45D7C" w:rsidRDefault="00B45D7C">
      <w:pPr>
        <w:spacing w:before="2000"/>
      </w:pPr>
    </w:p>
    <w:p w14:paraId="64E7465C" w14:textId="77777777" w:rsidR="00B45D7C" w:rsidRDefault="00000000">
      <w:pPr>
        <w:jc w:val="center"/>
      </w:pPr>
      <w:r>
        <w:rPr>
          <w:rFonts w:ascii="Arial" w:eastAsia="Arial" w:hAnsi="Arial" w:cs="Arial"/>
          <w:b/>
          <w:bCs/>
          <w:sz w:val="72"/>
          <w:szCs w:val="72"/>
        </w:rPr>
        <w:t>Alberta Ballet Title Scoring App</w:t>
      </w:r>
    </w:p>
    <w:p w14:paraId="17831EC0" w14:textId="77777777" w:rsidR="00B45D7C" w:rsidRDefault="00B45D7C">
      <w:pPr>
        <w:spacing w:after="400"/>
      </w:pPr>
    </w:p>
    <w:p w14:paraId="1C3F71BC" w14:textId="77777777" w:rsidR="00B45D7C" w:rsidRDefault="00000000">
      <w:pPr>
        <w:jc w:val="center"/>
      </w:pPr>
      <w:r>
        <w:rPr>
          <w:rFonts w:ascii="Arial" w:eastAsia="Arial" w:hAnsi="Arial" w:cs="Arial"/>
          <w:color w:val="444444"/>
          <w:sz w:val="36"/>
          <w:szCs w:val="36"/>
        </w:rPr>
        <w:t>Technical &amp; Executive Deep Analysis Report</w:t>
      </w:r>
    </w:p>
    <w:p w14:paraId="48FB05CC" w14:textId="77777777" w:rsidR="00B45D7C" w:rsidRDefault="00B45D7C">
      <w:pPr>
        <w:spacing w:after="800"/>
      </w:pPr>
    </w:p>
    <w:p w14:paraId="611A4E68" w14:textId="77777777" w:rsidR="00B45D7C" w:rsidRDefault="00000000">
      <w:pPr>
        <w:jc w:val="center"/>
      </w:pPr>
      <w:r>
        <w:rPr>
          <w:rFonts w:ascii="Arial" w:eastAsia="Arial" w:hAnsi="Arial" w:cs="Arial"/>
        </w:rPr>
        <w:t>Date: December 2025</w:t>
      </w:r>
    </w:p>
    <w:p w14:paraId="493EC9D1" w14:textId="77777777" w:rsidR="00B45D7C" w:rsidRDefault="00000000">
      <w:pPr>
        <w:jc w:val="center"/>
      </w:pPr>
      <w:r>
        <w:rPr>
          <w:rFonts w:ascii="Arial" w:eastAsia="Arial" w:hAnsi="Arial" w:cs="Arial"/>
        </w:rPr>
        <w:t>Prepared for: Engineering, Executive, and Board Review</w:t>
      </w:r>
    </w:p>
    <w:p w14:paraId="08D12F32" w14:textId="77777777" w:rsidR="00B45D7C" w:rsidRDefault="00000000">
      <w:pPr>
        <w:jc w:val="center"/>
      </w:pPr>
      <w:r>
        <w:rPr>
          <w:rFonts w:ascii="Arial" w:eastAsia="Arial" w:hAnsi="Arial" w:cs="Arial"/>
        </w:rPr>
        <w:t>Document Version: 2.0 (Enhanced)</w:t>
      </w:r>
    </w:p>
    <w:p w14:paraId="5C0C4397" w14:textId="77777777" w:rsidR="00B45D7C" w:rsidRDefault="00000000">
      <w:r>
        <w:br w:type="page"/>
      </w:r>
    </w:p>
    <w:p w14:paraId="5D89DB0F" w14:textId="77777777" w:rsidR="00B45D7C" w:rsidRDefault="00000000">
      <w:pPr>
        <w:pStyle w:val="Heading1"/>
      </w:pPr>
      <w:r>
        <w:lastRenderedPageBreak/>
        <w:t>0. Executive Summary</w:t>
      </w:r>
    </w:p>
    <w:p w14:paraId="0CA5BB2C" w14:textId="77777777" w:rsidR="00B45D7C" w:rsidRDefault="00000000">
      <w:pPr>
        <w:pStyle w:val="Heading2"/>
      </w:pPr>
      <w:r>
        <w:t>0.1 What is the Title Scoring App?</w:t>
      </w:r>
    </w:p>
    <w:p w14:paraId="4D0A4FF7" w14:textId="77777777" w:rsidR="00B45D7C" w:rsidRDefault="00000000">
      <w:pPr>
        <w:spacing w:after="200" w:line="276" w:lineRule="auto"/>
      </w:pPr>
      <w:r>
        <w:t>The Alberta Ballet Title Scoring App is an internal decision support system that uses machine learning to estimate audience demand for proposed ballet titles. The system is designed to help senior leadership, marketers, and programmers make evidence-based decisions about which titles to select or remount, when and where to run them, and how audience engagement may shift across seasons or regions. The model predicts ticket demand by combining historical ticket sales with economic conditions, public interest signals from platforms like YouTube and Spotify, seasonality patterns, and macroeconomic indicators.</w:t>
      </w:r>
    </w:p>
    <w:p w14:paraId="1FAA8D6D" w14:textId="77777777" w:rsidR="00B45D7C" w:rsidRDefault="00000000">
      <w:pPr>
        <w:spacing w:after="200" w:line="276" w:lineRule="auto"/>
      </w:pPr>
      <w:r>
        <w:t>At its core, the app addresses a fundamental challenge faced by ballet companies: the uncertainty inherent in programming future seasons. By analysing patterns in past performance and contextual factors, the system provides quantitative forecasts that can inform artistic and strategic decisions. However, it is crucial to understand that these forecasts represent demand priors rather than deterministic outcomes. They serve as informed starting points for decision-making, not as replacements for artistic judgement or comprehensive business planning.</w:t>
      </w:r>
    </w:p>
    <w:p w14:paraId="6D004824" w14:textId="77777777" w:rsidR="00B45D7C" w:rsidRDefault="00000000">
      <w:pPr>
        <w:pStyle w:val="Heading2"/>
      </w:pPr>
      <w:r>
        <w:t>0.2 Core Capabilities</w:t>
      </w:r>
    </w:p>
    <w:p w14:paraId="3EDC7A19" w14:textId="77777777" w:rsidR="00B45D7C" w:rsidRDefault="00000000">
      <w:pPr>
        <w:spacing w:after="200" w:line="276" w:lineRule="auto"/>
      </w:pPr>
      <w:r>
        <w:t>The app trains a demand forecasting model using the script scripts/train_safe_model.py, which processes curated historical data through a sophisticated machine learning pipeline. For any proposed title, the model predicts audience interest measured in tickets sold, drawing on multiple information sources. When a title has been performed previously, the model leverages that historical performance data. It also incorporates public buzz signals such as search trends and Wikipedia page views, seasonality and remount metadata to account for timing effects and audience fatigue, and economic climate factors including inflation and consumer confidence measures.</w:t>
      </w:r>
    </w:p>
    <w:p w14:paraId="2B44F603" w14:textId="77777777" w:rsidR="00B45D7C" w:rsidRDefault="00000000">
      <w:pPr>
        <w:spacing w:after="200" w:line="276" w:lineRule="auto"/>
      </w:pPr>
      <w:r>
        <w:t xml:space="preserve">Each prediction generated by the system comes with an explanation. The model uses SHAP values, a technique borrowed from game theory, to show which factors influenced each forecast and by how much. These explanations, combined with feature importance metrics, provide transparency into the model's reasoning. The system exports </w:t>
      </w:r>
      <w:proofErr w:type="gramStart"/>
      <w:r>
        <w:t>all of</w:t>
      </w:r>
      <w:proofErr w:type="gramEnd"/>
      <w:r>
        <w:t xml:space="preserve"> its outputs as model artefacts in formats </w:t>
      </w:r>
      <w:proofErr w:type="gramStart"/>
      <w:r>
        <w:t>like .</w:t>
      </w:r>
      <w:proofErr w:type="spellStart"/>
      <w:r>
        <w:t>joblib</w:t>
      </w:r>
      <w:proofErr w:type="spellEnd"/>
      <w:proofErr w:type="gramEnd"/>
      <w:r>
        <w:t xml:space="preserve"> for the trained model itself</w:t>
      </w:r>
      <w:proofErr w:type="gramStart"/>
      <w:r>
        <w:t>, .</w:t>
      </w:r>
      <w:proofErr w:type="spellStart"/>
      <w:r>
        <w:t>json</w:t>
      </w:r>
      <w:proofErr w:type="spellEnd"/>
      <w:proofErr w:type="gramEnd"/>
      <w:r>
        <w:t xml:space="preserve"> for metadata and configuration, </w:t>
      </w:r>
      <w:proofErr w:type="gramStart"/>
      <w:r>
        <w:t>and .parquet</w:t>
      </w:r>
      <w:proofErr w:type="gramEnd"/>
      <w:r>
        <w:t xml:space="preserve"> for detailed SHAP values, alongside visualisations and diagnostic plots that support interpretation and validation.</w:t>
      </w:r>
    </w:p>
    <w:p w14:paraId="0F9E9E45" w14:textId="77777777" w:rsidR="00B45D7C" w:rsidRDefault="00000000">
      <w:pPr>
        <w:spacing w:after="200" w:line="276" w:lineRule="auto"/>
      </w:pPr>
      <w:r>
        <w:t>The model demonstrates reasonable forecasting accuracy with a median absolute error of approximately 649 tickets, plus or minus 565 tickets in cross-validation. This means that on average, predictions differ from actual outcomes by about 649 tickets, though this varies depending on the specific production and context. The system achieves an R-squared value of 0.627, indicating that it explains roughly 63% of the variance in ticket sales across different productions.</w:t>
      </w:r>
    </w:p>
    <w:p w14:paraId="532A73FD" w14:textId="77777777" w:rsidR="00B45D7C" w:rsidRDefault="00000000">
      <w:pPr>
        <w:pStyle w:val="Heading2"/>
      </w:pPr>
      <w:r>
        <w:lastRenderedPageBreak/>
        <w:t>0.3 Boundaries and Limitations</w:t>
      </w:r>
    </w:p>
    <w:p w14:paraId="1EB09039" w14:textId="77777777" w:rsidR="00B45D7C" w:rsidRDefault="00000000">
      <w:pPr>
        <w:spacing w:after="200" w:line="276" w:lineRule="auto"/>
      </w:pPr>
      <w:r>
        <w:t>Understanding what the system does not do is as important as understanding its capabilities. The model predicts ticket volume, not revenue. It does not account for pricing strategies, discount structures, or complimentary ticket policies, all of which significantly affect financial outcomes. The system also does not learn from marketing outcomes or campaign data after a production has run. Whilst it can incorporate pre-existing buzz signals, it cannot assess whether a particular marketing investment would be effective for a given title.</w:t>
      </w:r>
    </w:p>
    <w:p w14:paraId="76998FFA" w14:textId="77777777" w:rsidR="00B45D7C" w:rsidRDefault="00000000">
      <w:pPr>
        <w:spacing w:after="200" w:line="276" w:lineRule="auto"/>
      </w:pPr>
      <w:r>
        <w:t>The app does not update dynamically in real time. Retraining the model requires manual invocation of training scripts or implementation of scheduled jobs. Additionally, the system does not optimise scheduling or perform pricing simulations, though the underlying architecture could potentially be extended to support such functionality. Perhaps most importantly, the forecasts should be understood as estimates of demand potential, not as guarantees of actual attendance or financial performance. Numerous factors beyond the model's scope, including execution quality, competitive events, and unforeseen circumstances, influence actual outcomes.</w:t>
      </w:r>
    </w:p>
    <w:p w14:paraId="7C356FA4" w14:textId="77777777" w:rsidR="00B45D7C" w:rsidRDefault="00000000">
      <w:pPr>
        <w:pStyle w:val="Heading2"/>
      </w:pPr>
      <w:r>
        <w:t>0.4 Model Performance Overview</w:t>
      </w:r>
    </w:p>
    <w:p w14:paraId="2908D027" w14:textId="77777777" w:rsidR="00B45D7C" w:rsidRDefault="00000000">
      <w:pPr>
        <w:spacing w:after="200" w:line="276" w:lineRule="auto"/>
      </w:pPr>
      <w:r>
        <w:t>The model's performance has been rigorously evaluated using time-aware cross-validation, a technique that ensures the model is tested on future data whilst being trained only on past data. This approach mirrors real-world forecasting conditions. The evaluation yields three primary metrics. The Mean Absolute Error (MAE) of 649 tickets, with a standard deviation of 565 tickets, indicates that predictions typically differ from actuals by this amount. The Root Mean Squared Error (RMSE) of 785 tickets, with a standard deviation of 693 tickets, provides another accuracy measure that penalises larger errors more heavily. The R-squared value of 0.627, with a standard deviation of 0.413, demonstrates that the model explains approximately 63% of the variance in ticket sales, though this explanatory power varies across different validation periods.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2882"/>
        <w:gridCol w:w="3733"/>
      </w:tblGrid>
      <w:tr w:rsidR="00B45D7C" w14:paraId="64016EBE" w14:textId="77777777">
        <w:tblPrEx>
          <w:tblCellMar>
            <w:top w:w="0" w:type="dxa"/>
            <w:bottom w:w="0" w:type="dxa"/>
          </w:tblCellMar>
        </w:tblPrEx>
        <w:trPr>
          <w:tblHeader/>
        </w:trPr>
        <w:tc>
          <w:tcPr>
            <w:tcW w:w="2500" w:type="dxa"/>
            <w:tcBorders>
              <w:top w:val="single" w:sz="1" w:space="0" w:color="999999"/>
              <w:left w:val="single" w:sz="1" w:space="0" w:color="999999"/>
              <w:bottom w:val="single" w:sz="1" w:space="0" w:color="999999"/>
              <w:right w:val="single" w:sz="1" w:space="0" w:color="999999"/>
            </w:tcBorders>
            <w:shd w:val="clear" w:color="auto" w:fill="E8E8E8"/>
          </w:tcPr>
          <w:p w14:paraId="52263F75" w14:textId="77777777" w:rsidR="00B45D7C" w:rsidRDefault="00000000">
            <w:pPr>
              <w:jc w:val="center"/>
            </w:pPr>
            <w:r>
              <w:rPr>
                <w:rFonts w:ascii="Arial" w:eastAsia="Arial" w:hAnsi="Arial" w:cs="Arial"/>
                <w:b/>
                <w:bCs/>
                <w:sz w:val="22"/>
                <w:szCs w:val="22"/>
              </w:rPr>
              <w:t>Metric</w:t>
            </w:r>
          </w:p>
        </w:tc>
        <w:tc>
          <w:tcPr>
            <w:tcW w:w="3000" w:type="dxa"/>
            <w:tcBorders>
              <w:top w:val="single" w:sz="1" w:space="0" w:color="999999"/>
              <w:left w:val="single" w:sz="1" w:space="0" w:color="999999"/>
              <w:bottom w:val="single" w:sz="1" w:space="0" w:color="999999"/>
              <w:right w:val="single" w:sz="1" w:space="0" w:color="999999"/>
            </w:tcBorders>
            <w:shd w:val="clear" w:color="auto" w:fill="E8E8E8"/>
          </w:tcPr>
          <w:p w14:paraId="205D5CCC" w14:textId="77777777" w:rsidR="00B45D7C" w:rsidRDefault="00000000">
            <w:pPr>
              <w:jc w:val="center"/>
            </w:pPr>
            <w:r>
              <w:rPr>
                <w:rFonts w:ascii="Arial" w:eastAsia="Arial" w:hAnsi="Arial" w:cs="Arial"/>
                <w:b/>
                <w:bCs/>
                <w:sz w:val="22"/>
                <w:szCs w:val="22"/>
              </w:rPr>
              <w:t>Value (CV mean ± std)</w:t>
            </w:r>
          </w:p>
        </w:tc>
        <w:tc>
          <w:tcPr>
            <w:tcW w:w="3860" w:type="dxa"/>
            <w:tcBorders>
              <w:top w:val="single" w:sz="1" w:space="0" w:color="999999"/>
              <w:left w:val="single" w:sz="1" w:space="0" w:color="999999"/>
              <w:bottom w:val="single" w:sz="1" w:space="0" w:color="999999"/>
              <w:right w:val="single" w:sz="1" w:space="0" w:color="999999"/>
            </w:tcBorders>
            <w:shd w:val="clear" w:color="auto" w:fill="E8E8E8"/>
          </w:tcPr>
          <w:p w14:paraId="38BDCA2A" w14:textId="77777777" w:rsidR="00B45D7C" w:rsidRDefault="00000000">
            <w:pPr>
              <w:jc w:val="center"/>
            </w:pPr>
            <w:r>
              <w:rPr>
                <w:rFonts w:ascii="Arial" w:eastAsia="Arial" w:hAnsi="Arial" w:cs="Arial"/>
                <w:b/>
                <w:bCs/>
                <w:sz w:val="22"/>
                <w:szCs w:val="22"/>
              </w:rPr>
              <w:t>Plain English Explanation</w:t>
            </w:r>
          </w:p>
        </w:tc>
      </w:tr>
      <w:tr w:rsidR="00B45D7C" w14:paraId="405D3E2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260265C9" w14:textId="77777777" w:rsidR="00B45D7C" w:rsidRDefault="00000000">
            <w:r>
              <w:rPr>
                <w:sz w:val="22"/>
                <w:szCs w:val="22"/>
              </w:rPr>
              <w:t>MAE</w:t>
            </w:r>
          </w:p>
        </w:tc>
        <w:tc>
          <w:tcPr>
            <w:tcW w:w="3000" w:type="dxa"/>
            <w:tcBorders>
              <w:top w:val="single" w:sz="1" w:space="0" w:color="999999"/>
              <w:left w:val="single" w:sz="1" w:space="0" w:color="999999"/>
              <w:bottom w:val="single" w:sz="1" w:space="0" w:color="999999"/>
              <w:right w:val="single" w:sz="1" w:space="0" w:color="999999"/>
            </w:tcBorders>
          </w:tcPr>
          <w:p w14:paraId="4507A60A" w14:textId="77777777" w:rsidR="00B45D7C" w:rsidRDefault="00000000">
            <w:r>
              <w:rPr>
                <w:sz w:val="22"/>
                <w:szCs w:val="22"/>
              </w:rPr>
              <w:t>649 ± 565 tickets</w:t>
            </w:r>
          </w:p>
        </w:tc>
        <w:tc>
          <w:tcPr>
            <w:tcW w:w="3860" w:type="dxa"/>
            <w:tcBorders>
              <w:top w:val="single" w:sz="1" w:space="0" w:color="999999"/>
              <w:left w:val="single" w:sz="1" w:space="0" w:color="999999"/>
              <w:bottom w:val="single" w:sz="1" w:space="0" w:color="999999"/>
              <w:right w:val="single" w:sz="1" w:space="0" w:color="999999"/>
            </w:tcBorders>
          </w:tcPr>
          <w:p w14:paraId="51799530" w14:textId="77777777" w:rsidR="00B45D7C" w:rsidRDefault="00000000">
            <w:r>
              <w:rPr>
                <w:sz w:val="22"/>
                <w:szCs w:val="22"/>
              </w:rPr>
              <w:t>On average, predictions are off by about 649 tickets</w:t>
            </w:r>
          </w:p>
        </w:tc>
      </w:tr>
      <w:tr w:rsidR="00B45D7C" w14:paraId="2DBF16D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5427728E" w14:textId="77777777" w:rsidR="00B45D7C" w:rsidRDefault="00000000">
            <w:r>
              <w:rPr>
                <w:sz w:val="22"/>
                <w:szCs w:val="22"/>
              </w:rPr>
              <w:t>RMSE</w:t>
            </w:r>
          </w:p>
        </w:tc>
        <w:tc>
          <w:tcPr>
            <w:tcW w:w="3000" w:type="dxa"/>
            <w:tcBorders>
              <w:top w:val="single" w:sz="1" w:space="0" w:color="999999"/>
              <w:left w:val="single" w:sz="1" w:space="0" w:color="999999"/>
              <w:bottom w:val="single" w:sz="1" w:space="0" w:color="999999"/>
              <w:right w:val="single" w:sz="1" w:space="0" w:color="999999"/>
            </w:tcBorders>
          </w:tcPr>
          <w:p w14:paraId="0862977E" w14:textId="77777777" w:rsidR="00B45D7C" w:rsidRDefault="00000000">
            <w:r>
              <w:rPr>
                <w:sz w:val="22"/>
                <w:szCs w:val="22"/>
              </w:rPr>
              <w:t>785 ± 693 tickets</w:t>
            </w:r>
          </w:p>
        </w:tc>
        <w:tc>
          <w:tcPr>
            <w:tcW w:w="3860" w:type="dxa"/>
            <w:tcBorders>
              <w:top w:val="single" w:sz="1" w:space="0" w:color="999999"/>
              <w:left w:val="single" w:sz="1" w:space="0" w:color="999999"/>
              <w:bottom w:val="single" w:sz="1" w:space="0" w:color="999999"/>
              <w:right w:val="single" w:sz="1" w:space="0" w:color="999999"/>
            </w:tcBorders>
          </w:tcPr>
          <w:p w14:paraId="495A7173" w14:textId="77777777" w:rsidR="00B45D7C" w:rsidRDefault="00000000">
            <w:r>
              <w:rPr>
                <w:sz w:val="22"/>
                <w:szCs w:val="22"/>
              </w:rPr>
              <w:t>Root Mean Squared Error penalises large errors more heavily</w:t>
            </w:r>
          </w:p>
        </w:tc>
      </w:tr>
      <w:tr w:rsidR="00B45D7C" w14:paraId="42690EC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Pr>
          <w:p w14:paraId="16DC8D61" w14:textId="77777777" w:rsidR="00B45D7C" w:rsidRDefault="00000000">
            <w:r>
              <w:rPr>
                <w:sz w:val="22"/>
                <w:szCs w:val="22"/>
              </w:rPr>
              <w:t>R²</w:t>
            </w:r>
          </w:p>
        </w:tc>
        <w:tc>
          <w:tcPr>
            <w:tcW w:w="3000" w:type="dxa"/>
            <w:tcBorders>
              <w:top w:val="single" w:sz="1" w:space="0" w:color="999999"/>
              <w:left w:val="single" w:sz="1" w:space="0" w:color="999999"/>
              <w:bottom w:val="single" w:sz="1" w:space="0" w:color="999999"/>
              <w:right w:val="single" w:sz="1" w:space="0" w:color="999999"/>
            </w:tcBorders>
          </w:tcPr>
          <w:p w14:paraId="26287019" w14:textId="77777777" w:rsidR="00B45D7C" w:rsidRDefault="00000000">
            <w:r>
              <w:rPr>
                <w:sz w:val="22"/>
                <w:szCs w:val="22"/>
              </w:rPr>
              <w:t>0.627 ± 0.413</w:t>
            </w:r>
          </w:p>
        </w:tc>
        <w:tc>
          <w:tcPr>
            <w:tcW w:w="3860" w:type="dxa"/>
            <w:tcBorders>
              <w:top w:val="single" w:sz="1" w:space="0" w:color="999999"/>
              <w:left w:val="single" w:sz="1" w:space="0" w:color="999999"/>
              <w:bottom w:val="single" w:sz="1" w:space="0" w:color="999999"/>
              <w:right w:val="single" w:sz="1" w:space="0" w:color="999999"/>
            </w:tcBorders>
          </w:tcPr>
          <w:p w14:paraId="786128D9" w14:textId="77777777" w:rsidR="00B45D7C" w:rsidRDefault="00000000">
            <w:r>
              <w:rPr>
                <w:sz w:val="22"/>
                <w:szCs w:val="22"/>
              </w:rPr>
              <w:t>The model explains approximately 63% of variance in ticket sales</w:t>
            </w:r>
          </w:p>
        </w:tc>
      </w:tr>
    </w:tbl>
    <w:p w14:paraId="536800F7" w14:textId="77777777" w:rsidR="00B45D7C" w:rsidRDefault="00000000">
      <w:pPr>
        <w:spacing w:before="100" w:after="300"/>
        <w:jc w:val="center"/>
      </w:pPr>
      <w:r>
        <w:rPr>
          <w:rFonts w:ascii="Arial" w:eastAsia="Arial" w:hAnsi="Arial" w:cs="Arial"/>
          <w:i/>
          <w:iCs/>
          <w:sz w:val="22"/>
          <w:szCs w:val="22"/>
        </w:rPr>
        <w:t>Table 1: Cross-Validation Performance Metrics</w:t>
      </w:r>
    </w:p>
    <w:p w14:paraId="57F9F16D" w14:textId="77777777" w:rsidR="00B45D7C" w:rsidRDefault="00000000">
      <w:pPr>
        <w:spacing w:after="200" w:line="276" w:lineRule="auto"/>
      </w:pPr>
      <w:r>
        <w:t xml:space="preserve">These metrics should be interpreted in context. The relatively high standard deviations reflect genuine variability in predictive performance across different time periods and production types. Some validation folds, particularly Fold 1 with an MAE of 1,542 tickets and a negative R-squared value, reveal periods where the model struggled, likely due to unusual market conditions or structural changes in audience behaviour. Conversely, Fold 5 achieved an MAE of only 166 tickets, demonstrating excellent predictive accuracy for certain periods. This </w:t>
      </w:r>
      <w:r>
        <w:lastRenderedPageBreak/>
        <w:t>variability underscores the importance of understanding model predictions as probabilistic estimates rather than certainties.</w:t>
      </w:r>
    </w:p>
    <w:p w14:paraId="2AAFB971" w14:textId="77777777" w:rsidR="00B45D7C" w:rsidRDefault="00000000">
      <w:pPr>
        <w:pStyle w:val="Heading2"/>
      </w:pPr>
      <w:r>
        <w:t>0.5 Pipeline Architecture</w:t>
      </w:r>
    </w:p>
    <w:p w14:paraId="3269EB89" w14:textId="77777777" w:rsidR="00B45D7C" w:rsidRDefault="00000000">
      <w:pPr>
        <w:spacing w:after="200" w:line="276" w:lineRule="auto"/>
      </w:pPr>
      <w:r>
        <w:t>The system follows a clear data pipeline that transforms raw historical records into actionable forecasts. Historical sales data, including past shows with their ticket counts and remount flags, flows into the system alongside external signals from sources like Google Trends, YouTube, Spotify, and the Bank of Canada. The feature engineering stage, implemented across multiple Python modules in the features/ directory, transforms this raw data into predictive features using both domain knowledge and statistical techniques.</w:t>
      </w:r>
    </w:p>
    <w:p w14:paraId="247DA530" w14:textId="77777777" w:rsidR="00B45D7C" w:rsidRDefault="00000000">
      <w:pPr>
        <w:spacing w:after="200" w:line="276" w:lineRule="auto"/>
      </w:pPr>
      <w:r>
        <w:t xml:space="preserve">These engineered features then flow into the model training process, managed by train_safe_model.py, which uses </w:t>
      </w:r>
      <w:proofErr w:type="spellStart"/>
      <w:r>
        <w:t>XGBoost</w:t>
      </w:r>
      <w:proofErr w:type="spellEnd"/>
      <w:r>
        <w:t xml:space="preserve"> regression combined with SHAP analysis for explainability. The training process produces model artefacts saved in various formats, including serialised model files, JSON metadata, PNG visualisations, and Parquet files containing detailed SHAP values. Finally, the scoring interface provided by service/forecast.py loads these artefacts and generates predictions for new titles or scenarios.</w:t>
      </w:r>
    </w:p>
    <w:p w14:paraId="0336E1AE" w14:textId="77777777" w:rsidR="00B45D7C" w:rsidRDefault="00000000">
      <w:pPr>
        <w:spacing w:after="200" w:line="276" w:lineRule="auto"/>
      </w:pPr>
      <w:r>
        <w:t>This architecture reflects a thoughtful balance between sophistication and maintainability. The separation of feature engineering, training, and inference concerns allows for independent development and testing of each component. The use of standard file formats and clear directory structures facilitates both reproducibility and integration with downstream systems.</w:t>
      </w:r>
    </w:p>
    <w:p w14:paraId="6B7C8F60" w14:textId="77777777" w:rsidR="00B45D7C" w:rsidRDefault="00000000">
      <w:pPr>
        <w:pStyle w:val="Heading2"/>
      </w:pPr>
      <w:r>
        <w:t>0.6 Strategic Context</w:t>
      </w:r>
    </w:p>
    <w:p w14:paraId="24953470" w14:textId="77777777" w:rsidR="00B45D7C" w:rsidRDefault="00000000">
      <w:pPr>
        <w:spacing w:after="200" w:line="276" w:lineRule="auto"/>
      </w:pPr>
      <w:r>
        <w:t>The Title Scoring App represents a sophisticated application of machine learning to a challenging business problem. Ballet companies must programme seasons months or years in advance, committing substantial resources based on uncertain demand forecasts. Traditional approaches rely heavily on institutional knowledge and artistic intuition, both valuable but difficult to systematise or audit. This system complements human judgement with quantitative analysis, providing a structured framework for evaluating programming options.</w:t>
      </w:r>
    </w:p>
    <w:p w14:paraId="0B097FF0" w14:textId="77777777" w:rsidR="00B45D7C" w:rsidRDefault="00000000">
      <w:pPr>
        <w:spacing w:after="200" w:line="276" w:lineRule="auto"/>
      </w:pPr>
      <w:r>
        <w:t>The model's strength lies in its ability to synthesise diverse information sources into a single coherent forecast. By combining historical performance data with economic indicators and contemporary buzz signals, it captures multiple dimensions of demand. The use of explainable AI techniques ensures that stakeholders can understand and interrogate the model's reasoning, building trust and enabling more nuanced interpretation of results.</w:t>
      </w:r>
    </w:p>
    <w:p w14:paraId="067DC619" w14:textId="77777777" w:rsidR="00B45D7C" w:rsidRDefault="00000000">
      <w:pPr>
        <w:spacing w:after="200" w:line="276" w:lineRule="auto"/>
      </w:pPr>
      <w:r>
        <w:t xml:space="preserve">However, the system must be understood within its proper scope. The forecasts enable more informed scenario planning when contextualised with venue capacity constraints, funding realities, and portfolio-level artistic goals. They provide valuable input to programming decisions but cannot and should not be the sole determinant. Artistic programming involves considerations of mission, artistic development, community engagement, and cultural impact </w:t>
      </w:r>
      <w:r>
        <w:lastRenderedPageBreak/>
        <w:t>that extend well beyond ticket demand optimisation. The Title Scoring App serves as one tool amongst many in the complex process of season planning.</w:t>
      </w:r>
    </w:p>
    <w:p w14:paraId="2225717E" w14:textId="77777777" w:rsidR="00B45D7C" w:rsidRDefault="00000000">
      <w:r>
        <w:br w:type="page"/>
      </w:r>
    </w:p>
    <w:p w14:paraId="117FC266" w14:textId="77777777" w:rsidR="00B45D7C" w:rsidRDefault="00000000">
      <w:pPr>
        <w:pStyle w:val="Heading1"/>
      </w:pPr>
      <w:r>
        <w:lastRenderedPageBreak/>
        <w:t>1. System &amp; Pipeline Architecture</w:t>
      </w:r>
    </w:p>
    <w:p w14:paraId="6D516B70" w14:textId="77777777" w:rsidR="00B45D7C" w:rsidRDefault="00000000">
      <w:pPr>
        <w:pStyle w:val="Heading2"/>
      </w:pPr>
      <w:r>
        <w:t>1.1 Repository Organisation and Structure</w:t>
      </w:r>
    </w:p>
    <w:p w14:paraId="6793A437" w14:textId="77777777" w:rsidR="00B45D7C" w:rsidRDefault="00000000">
      <w:pPr>
        <w:spacing w:after="200" w:line="276" w:lineRule="auto"/>
      </w:pPr>
      <w:r>
        <w:t>The codebase is organised into a clear hierarchical structure that separates concerns and facilitates maintainability. The scripts/ directory contains command-line interface entry points for all major operations, including training models, scoring productions, and running diagnostic analyses. These scripts provide the primary interface through which users interact with the system, whether for routine operations or one-off analyses.</w:t>
      </w:r>
    </w:p>
    <w:p w14:paraId="260FCDD7" w14:textId="77777777" w:rsidR="00B45D7C" w:rsidRDefault="00000000">
      <w:pPr>
        <w:spacing w:after="200" w:line="276" w:lineRule="auto"/>
      </w:pPr>
      <w:r>
        <w:t>The ml/ directory houses the core modelling logic, including the training pipeline, cross-validation implementation, and scoring utilities. This separation ensures that the machine learning algorithms remain independent from data processing and feature engineering concerns. The features/ directory contains feature engineering modules organised by domain, such as economic_features.py for macroeconomic indicators and buzz_features.py for online engagement signals. This modular organisation allows feature engineering logic to be developed, tested, and maintained independently.</w:t>
      </w:r>
    </w:p>
    <w:p w14:paraId="47586E3F" w14:textId="77777777" w:rsidR="00B45D7C" w:rsidRDefault="00000000">
      <w:pPr>
        <w:spacing w:after="200" w:line="276" w:lineRule="auto"/>
      </w:pPr>
      <w:r>
        <w:t xml:space="preserve">The service/ directory provides the inference interface through forecast.py, which loads trained models and generates predictions for new productions. The results/ and </w:t>
      </w:r>
      <w:proofErr w:type="spellStart"/>
      <w:r>
        <w:t>shap</w:t>
      </w:r>
      <w:proofErr w:type="spellEnd"/>
      <w:r>
        <w:t>/ directories store exported artefacts, including SHAP values, feature importance rankings, and diagnostic plots. Documentation resides in the docs/ directory, whilst configuration files in YAML and CSV formats are maintained in configs/. This structure reflects software engineering best practices, with clear separation between code, configuration, data, and outputs.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4"/>
        <w:gridCol w:w="6320"/>
      </w:tblGrid>
      <w:tr w:rsidR="00B45D7C" w14:paraId="55BF04AB" w14:textId="77777777">
        <w:tblPrEx>
          <w:tblCellMar>
            <w:top w:w="0" w:type="dxa"/>
            <w:bottom w:w="0" w:type="dxa"/>
          </w:tblCellMar>
        </w:tblPrEx>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E8E8E8"/>
          </w:tcPr>
          <w:p w14:paraId="268A491F" w14:textId="77777777" w:rsidR="00B45D7C" w:rsidRDefault="00000000">
            <w:pPr>
              <w:jc w:val="center"/>
            </w:pPr>
            <w:r>
              <w:rPr>
                <w:rFonts w:ascii="Arial" w:eastAsia="Arial" w:hAnsi="Arial" w:cs="Arial"/>
                <w:b/>
                <w:bCs/>
                <w:sz w:val="22"/>
                <w:szCs w:val="22"/>
              </w:rPr>
              <w:t>Directory</w:t>
            </w:r>
          </w:p>
        </w:tc>
        <w:tc>
          <w:tcPr>
            <w:tcW w:w="6560" w:type="dxa"/>
            <w:tcBorders>
              <w:top w:val="single" w:sz="1" w:space="0" w:color="999999"/>
              <w:left w:val="single" w:sz="1" w:space="0" w:color="999999"/>
              <w:bottom w:val="single" w:sz="1" w:space="0" w:color="999999"/>
              <w:right w:val="single" w:sz="1" w:space="0" w:color="999999"/>
            </w:tcBorders>
            <w:shd w:val="clear" w:color="auto" w:fill="E8E8E8"/>
          </w:tcPr>
          <w:p w14:paraId="2223E2C3" w14:textId="77777777" w:rsidR="00B45D7C" w:rsidRDefault="00000000">
            <w:pPr>
              <w:jc w:val="center"/>
            </w:pPr>
            <w:r>
              <w:rPr>
                <w:rFonts w:ascii="Arial" w:eastAsia="Arial" w:hAnsi="Arial" w:cs="Arial"/>
                <w:b/>
                <w:bCs/>
                <w:sz w:val="22"/>
                <w:szCs w:val="22"/>
              </w:rPr>
              <w:t>Purpose</w:t>
            </w:r>
          </w:p>
        </w:tc>
      </w:tr>
      <w:tr w:rsidR="00B45D7C" w14:paraId="780BBEB8"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1C22E5F2" w14:textId="77777777" w:rsidR="00B45D7C" w:rsidRDefault="00000000">
            <w:r>
              <w:rPr>
                <w:sz w:val="22"/>
                <w:szCs w:val="22"/>
              </w:rPr>
              <w:t>scripts/</w:t>
            </w:r>
          </w:p>
        </w:tc>
        <w:tc>
          <w:tcPr>
            <w:tcW w:w="6560" w:type="dxa"/>
            <w:tcBorders>
              <w:top w:val="single" w:sz="1" w:space="0" w:color="999999"/>
              <w:left w:val="single" w:sz="1" w:space="0" w:color="999999"/>
              <w:bottom w:val="single" w:sz="1" w:space="0" w:color="999999"/>
              <w:right w:val="single" w:sz="1" w:space="0" w:color="999999"/>
            </w:tcBorders>
          </w:tcPr>
          <w:p w14:paraId="01DC35E2" w14:textId="77777777" w:rsidR="00B45D7C" w:rsidRDefault="00000000">
            <w:r>
              <w:rPr>
                <w:sz w:val="22"/>
                <w:szCs w:val="22"/>
              </w:rPr>
              <w:t>CLI entry points for training, scoring, diagnostics</w:t>
            </w:r>
          </w:p>
        </w:tc>
      </w:tr>
      <w:tr w:rsidR="00B45D7C" w14:paraId="045B6B2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75A08BB5" w14:textId="77777777" w:rsidR="00B45D7C" w:rsidRDefault="00000000">
            <w:r>
              <w:rPr>
                <w:sz w:val="22"/>
                <w:szCs w:val="22"/>
              </w:rPr>
              <w:t>ml/</w:t>
            </w:r>
          </w:p>
        </w:tc>
        <w:tc>
          <w:tcPr>
            <w:tcW w:w="6560" w:type="dxa"/>
            <w:tcBorders>
              <w:top w:val="single" w:sz="1" w:space="0" w:color="999999"/>
              <w:left w:val="single" w:sz="1" w:space="0" w:color="999999"/>
              <w:bottom w:val="single" w:sz="1" w:space="0" w:color="999999"/>
              <w:right w:val="single" w:sz="1" w:space="0" w:color="999999"/>
            </w:tcBorders>
          </w:tcPr>
          <w:p w14:paraId="2B1CA10E" w14:textId="77777777" w:rsidR="00B45D7C" w:rsidRDefault="00000000">
            <w:r>
              <w:rPr>
                <w:sz w:val="22"/>
                <w:szCs w:val="22"/>
              </w:rPr>
              <w:t>Core modelling logic: training, cross-validation, scoring</w:t>
            </w:r>
          </w:p>
        </w:tc>
      </w:tr>
      <w:tr w:rsidR="00B45D7C" w14:paraId="64AA8640"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4229B10C" w14:textId="77777777" w:rsidR="00B45D7C" w:rsidRDefault="00000000">
            <w:r>
              <w:rPr>
                <w:sz w:val="22"/>
                <w:szCs w:val="22"/>
              </w:rPr>
              <w:t>features/</w:t>
            </w:r>
          </w:p>
        </w:tc>
        <w:tc>
          <w:tcPr>
            <w:tcW w:w="6560" w:type="dxa"/>
            <w:tcBorders>
              <w:top w:val="single" w:sz="1" w:space="0" w:color="999999"/>
              <w:left w:val="single" w:sz="1" w:space="0" w:color="999999"/>
              <w:bottom w:val="single" w:sz="1" w:space="0" w:color="999999"/>
              <w:right w:val="single" w:sz="1" w:space="0" w:color="999999"/>
            </w:tcBorders>
          </w:tcPr>
          <w:p w14:paraId="5479EDF4" w14:textId="77777777" w:rsidR="00B45D7C" w:rsidRDefault="00000000">
            <w:r>
              <w:rPr>
                <w:sz w:val="22"/>
                <w:szCs w:val="22"/>
              </w:rPr>
              <w:t>Feature engineering modules by domain (e.g., economic_features.py)</w:t>
            </w:r>
          </w:p>
        </w:tc>
      </w:tr>
      <w:tr w:rsidR="00B45D7C" w14:paraId="20A27C82"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7CED3291" w14:textId="77777777" w:rsidR="00B45D7C" w:rsidRDefault="00000000">
            <w:r>
              <w:rPr>
                <w:sz w:val="22"/>
                <w:szCs w:val="22"/>
              </w:rPr>
              <w:t>service/</w:t>
            </w:r>
          </w:p>
        </w:tc>
        <w:tc>
          <w:tcPr>
            <w:tcW w:w="6560" w:type="dxa"/>
            <w:tcBorders>
              <w:top w:val="single" w:sz="1" w:space="0" w:color="999999"/>
              <w:left w:val="single" w:sz="1" w:space="0" w:color="999999"/>
              <w:bottom w:val="single" w:sz="1" w:space="0" w:color="999999"/>
              <w:right w:val="single" w:sz="1" w:space="0" w:color="999999"/>
            </w:tcBorders>
          </w:tcPr>
          <w:p w14:paraId="32B9E567" w14:textId="77777777" w:rsidR="00B45D7C" w:rsidRDefault="00000000">
            <w:r>
              <w:rPr>
                <w:sz w:val="22"/>
                <w:szCs w:val="22"/>
              </w:rPr>
              <w:t>Inference interface (forecast.py)</w:t>
            </w:r>
          </w:p>
        </w:tc>
      </w:tr>
      <w:tr w:rsidR="00B45D7C" w14:paraId="283494F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148F43C6" w14:textId="77777777" w:rsidR="00B45D7C" w:rsidRDefault="00000000">
            <w:r>
              <w:rPr>
                <w:sz w:val="22"/>
                <w:szCs w:val="22"/>
              </w:rPr>
              <w:t xml:space="preserve">results/ &amp; </w:t>
            </w:r>
            <w:proofErr w:type="spellStart"/>
            <w:r>
              <w:rPr>
                <w:sz w:val="22"/>
                <w:szCs w:val="22"/>
              </w:rPr>
              <w:t>shap</w:t>
            </w:r>
            <w:proofErr w:type="spellEnd"/>
            <w:r>
              <w:rPr>
                <w:sz w:val="22"/>
                <w:szCs w:val="22"/>
              </w:rPr>
              <w:t>/</w:t>
            </w:r>
          </w:p>
        </w:tc>
        <w:tc>
          <w:tcPr>
            <w:tcW w:w="6560" w:type="dxa"/>
            <w:tcBorders>
              <w:top w:val="single" w:sz="1" w:space="0" w:color="999999"/>
              <w:left w:val="single" w:sz="1" w:space="0" w:color="999999"/>
              <w:bottom w:val="single" w:sz="1" w:space="0" w:color="999999"/>
              <w:right w:val="single" w:sz="1" w:space="0" w:color="999999"/>
            </w:tcBorders>
          </w:tcPr>
          <w:p w14:paraId="5727AD6A" w14:textId="77777777" w:rsidR="00B45D7C" w:rsidRDefault="00000000">
            <w:r>
              <w:rPr>
                <w:sz w:val="22"/>
                <w:szCs w:val="22"/>
              </w:rPr>
              <w:t>Exported artefacts: SHAP values, feature importance, plots</w:t>
            </w:r>
          </w:p>
        </w:tc>
      </w:tr>
      <w:tr w:rsidR="00B45D7C" w14:paraId="67BF1D53"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0443E9A8" w14:textId="77777777" w:rsidR="00B45D7C" w:rsidRDefault="00000000">
            <w:r>
              <w:rPr>
                <w:sz w:val="22"/>
                <w:szCs w:val="22"/>
              </w:rPr>
              <w:t>docs/</w:t>
            </w:r>
          </w:p>
        </w:tc>
        <w:tc>
          <w:tcPr>
            <w:tcW w:w="6560" w:type="dxa"/>
            <w:tcBorders>
              <w:top w:val="single" w:sz="1" w:space="0" w:color="999999"/>
              <w:left w:val="single" w:sz="1" w:space="0" w:color="999999"/>
              <w:bottom w:val="single" w:sz="1" w:space="0" w:color="999999"/>
              <w:right w:val="single" w:sz="1" w:space="0" w:color="999999"/>
            </w:tcBorders>
          </w:tcPr>
          <w:p w14:paraId="3C67734D" w14:textId="77777777" w:rsidR="00B45D7C" w:rsidRDefault="00000000">
            <w:r>
              <w:rPr>
                <w:sz w:val="22"/>
                <w:szCs w:val="22"/>
              </w:rPr>
              <w:t>Methodological and interpretability documentation</w:t>
            </w:r>
          </w:p>
        </w:tc>
      </w:tr>
      <w:tr w:rsidR="00B45D7C" w14:paraId="6E232D2A"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Pr>
          <w:p w14:paraId="29D4D684" w14:textId="77777777" w:rsidR="00B45D7C" w:rsidRDefault="00000000">
            <w:r>
              <w:rPr>
                <w:sz w:val="22"/>
                <w:szCs w:val="22"/>
              </w:rPr>
              <w:t>configs/</w:t>
            </w:r>
          </w:p>
        </w:tc>
        <w:tc>
          <w:tcPr>
            <w:tcW w:w="6560" w:type="dxa"/>
            <w:tcBorders>
              <w:top w:val="single" w:sz="1" w:space="0" w:color="999999"/>
              <w:left w:val="single" w:sz="1" w:space="0" w:color="999999"/>
              <w:bottom w:val="single" w:sz="1" w:space="0" w:color="999999"/>
              <w:right w:val="single" w:sz="1" w:space="0" w:color="999999"/>
            </w:tcBorders>
          </w:tcPr>
          <w:p w14:paraId="653645DD" w14:textId="77777777" w:rsidR="00B45D7C" w:rsidRDefault="00000000">
            <w:r>
              <w:rPr>
                <w:sz w:val="22"/>
                <w:szCs w:val="22"/>
              </w:rPr>
              <w:t>ML task and data configuration files (YAML, CSV)</w:t>
            </w:r>
          </w:p>
        </w:tc>
      </w:tr>
    </w:tbl>
    <w:p w14:paraId="56888417" w14:textId="77777777" w:rsidR="00B45D7C" w:rsidRDefault="00000000">
      <w:pPr>
        <w:spacing w:before="100" w:after="300"/>
        <w:jc w:val="center"/>
      </w:pPr>
      <w:r>
        <w:rPr>
          <w:rFonts w:ascii="Arial" w:eastAsia="Arial" w:hAnsi="Arial" w:cs="Arial"/>
          <w:i/>
          <w:iCs/>
          <w:sz w:val="22"/>
          <w:szCs w:val="22"/>
        </w:rPr>
        <w:t>Table 2: Repository Directory Structure</w:t>
      </w:r>
    </w:p>
    <w:p w14:paraId="4E404C7B" w14:textId="77777777" w:rsidR="00B45D7C" w:rsidRDefault="00000000">
      <w:pPr>
        <w:pStyle w:val="Heading2"/>
      </w:pPr>
      <w:r>
        <w:t>1.2 Data Flow and Processing Pipeline</w:t>
      </w:r>
    </w:p>
    <w:p w14:paraId="13C2FAA1" w14:textId="77777777" w:rsidR="00B45D7C" w:rsidRDefault="00000000">
      <w:pPr>
        <w:spacing w:after="200" w:line="276" w:lineRule="auto"/>
      </w:pPr>
      <w:r>
        <w:t>The system implements a multi-stage data flow that progressively transforms raw input data into actionable forecasts. Raw data from multiple sources, including historical sales records, economic indicators, and audience engagement metrics, enters the system through various CSV files and API integrations. The ETL (Extract, Transform, Load) process, primarily implemented in build_modelling_dataset.py, performs the necessary joins, alignments, and initial transformations to create a unified modelling dataset.</w:t>
      </w:r>
    </w:p>
    <w:p w14:paraId="3A15B433" w14:textId="77777777" w:rsidR="00B45D7C" w:rsidRDefault="00000000">
      <w:pPr>
        <w:spacing w:after="200" w:line="276" w:lineRule="auto"/>
      </w:pPr>
      <w:r>
        <w:t xml:space="preserve">Feature engineering then transforms this unified dataset into a rich set of predictive features. This stage applies domain-specific transformations, such as calculating years since last run </w:t>
      </w:r>
      <w:r>
        <w:lastRenderedPageBreak/>
        <w:t>for remount analysis or normalising economic indicators to constant-dollar terms. The feature engineering process respects temporal boundaries, ensuring that only information available before a production's opening date is used in its features.</w:t>
      </w:r>
    </w:p>
    <w:p w14:paraId="6DAEEDD4" w14:textId="77777777" w:rsidR="00B45D7C" w:rsidRDefault="00000000">
      <w:pPr>
        <w:spacing w:after="200" w:line="276" w:lineRule="auto"/>
      </w:pPr>
      <w:r>
        <w:t xml:space="preserve">Once features are prepared, the data undergoes a time-aware train-test split. Unlike conventional random splitting, this process respects chronological ordering to prevent future information from leaking into past predictions. The training data flows into the model training pipeline, which implements cross-validation, hyperparameter tuning, and model fitting. The trained model, along with its associated metadata and SHAP values, </w:t>
      </w:r>
      <w:proofErr w:type="gramStart"/>
      <w:r>
        <w:t>is persisted</w:t>
      </w:r>
      <w:proofErr w:type="gramEnd"/>
      <w:r>
        <w:t xml:space="preserve"> to disk in a structured format.</w:t>
      </w:r>
    </w:p>
    <w:p w14:paraId="6AE6CE08" w14:textId="77777777" w:rsidR="00B45D7C" w:rsidRDefault="00000000">
      <w:pPr>
        <w:spacing w:after="200" w:line="276" w:lineRule="auto"/>
      </w:pPr>
      <w:r>
        <w:t>During inference, new production metadata flows into the feature engineering pipeline, which applies identical transformations to those used during training. The scoring module loads the persisted model and generates predictions along with explanations. These outputs, including ticket forecasts and feature breakdowns, are returned in a structured format suitable for integration with downstream systems or presentation to stakeholders.</w:t>
      </w:r>
    </w:p>
    <w:p w14:paraId="337AF807" w14:textId="77777777" w:rsidR="00B45D7C" w:rsidRDefault="00000000">
      <w:pPr>
        <w:pStyle w:val="Heading2"/>
      </w:pPr>
      <w:r>
        <w:t>1.3 Runtime Environment and Dependencies</w:t>
      </w:r>
    </w:p>
    <w:p w14:paraId="0F89E669" w14:textId="77777777" w:rsidR="00B45D7C" w:rsidRDefault="00000000">
      <w:pPr>
        <w:spacing w:after="200" w:line="276" w:lineRule="auto"/>
      </w:pPr>
      <w:r>
        <w:t xml:space="preserve">The system runs in Python 3.11 or later, leveraging modern language features and library compatibility. Key dependencies include </w:t>
      </w:r>
      <w:proofErr w:type="spellStart"/>
      <w:r>
        <w:t>xgboost</w:t>
      </w:r>
      <w:proofErr w:type="spellEnd"/>
      <w:r>
        <w:t xml:space="preserve"> for gradient boosting implementation, pandas for data manipulation, </w:t>
      </w:r>
      <w:proofErr w:type="spellStart"/>
      <w:r>
        <w:t>numpy</w:t>
      </w:r>
      <w:proofErr w:type="spellEnd"/>
      <w:r>
        <w:t xml:space="preserve"> for numerical computations, scikit-learn for machine learning utilities, </w:t>
      </w:r>
      <w:proofErr w:type="spellStart"/>
      <w:r>
        <w:t>shap</w:t>
      </w:r>
      <w:proofErr w:type="spellEnd"/>
      <w:r>
        <w:t xml:space="preserve"> for model interpretability, </w:t>
      </w:r>
      <w:proofErr w:type="spellStart"/>
      <w:r>
        <w:t>pyarrow</w:t>
      </w:r>
      <w:proofErr w:type="spellEnd"/>
      <w:r>
        <w:t xml:space="preserve"> for efficient data serialisation, and </w:t>
      </w:r>
      <w:proofErr w:type="spellStart"/>
      <w:r>
        <w:t>joblib</w:t>
      </w:r>
      <w:proofErr w:type="spellEnd"/>
      <w:r>
        <w:t xml:space="preserve"> for model persistence. The system is designed to run in GitHub </w:t>
      </w:r>
      <w:proofErr w:type="spellStart"/>
      <w:r>
        <w:t>Codespaces</w:t>
      </w:r>
      <w:proofErr w:type="spellEnd"/>
      <w:r>
        <w:t>, though it remains compatible with standard virtual environments.</w:t>
      </w:r>
    </w:p>
    <w:p w14:paraId="3858F0A9" w14:textId="77777777" w:rsidR="00B45D7C" w:rsidRDefault="00000000">
      <w:pPr>
        <w:spacing w:after="200" w:line="276" w:lineRule="auto"/>
      </w:pPr>
      <w:r>
        <w:t>Data files are expected to reside in specific directories following a conventional structure. Historical sales data lives in data/, production metadata in productions/, economic indicators in economics/, and environmental context in environment/. This organisation reflects the logical separation of different data domains and facilitates independent updates to each data source.</w:t>
      </w:r>
    </w:p>
    <w:p w14:paraId="471544CF" w14:textId="77777777" w:rsidR="00B45D7C" w:rsidRDefault="00000000">
      <w:pPr>
        <w:pStyle w:val="Heading2"/>
      </w:pPr>
      <w:r>
        <w:t>1.4 Training Pipeline Implementation</w:t>
      </w:r>
    </w:p>
    <w:p w14:paraId="15FD82A2" w14:textId="77777777" w:rsidR="00B45D7C" w:rsidRDefault="00000000">
      <w:pPr>
        <w:spacing w:after="200" w:line="276" w:lineRule="auto"/>
      </w:pPr>
      <w:r>
        <w:t>The training pipeline, implemented primarily in scripts/train_safe_model.py and ml/training.py, follows a systematic approach to model development. The process begins by loading the modelling dataset, which has been previously prepared through the ETL pipeline. Feature preparation separates the target variable (log-transformed ticket sales) from the predictor features, applying appropriate transformations and encodings.</w:t>
      </w:r>
    </w:p>
    <w:p w14:paraId="398934A1" w14:textId="77777777" w:rsidR="00B45D7C" w:rsidRDefault="00000000">
      <w:pPr>
        <w:spacing w:after="200" w:line="276" w:lineRule="auto"/>
      </w:pPr>
      <w:r>
        <w:t xml:space="preserve">Cross-validation split creation uses the </w:t>
      </w:r>
      <w:proofErr w:type="spellStart"/>
      <w:r>
        <w:t>get_time_aware_</w:t>
      </w:r>
      <w:proofErr w:type="gramStart"/>
      <w:r>
        <w:t>cv</w:t>
      </w:r>
      <w:proofErr w:type="spellEnd"/>
      <w:r>
        <w:t>(</w:t>
      </w:r>
      <w:proofErr w:type="gramEnd"/>
      <w:r>
        <w:t>) function, which implements chronological splitting based on opening dates. This ensures that each validation fold represents a genuine future prediction scenario. The cross-validation and tuning process iterates through different hyperparameter configurations, evaluating model performance on each validation fold. When the --tune flag is passed, the system performs systematic hyperparameter optimisation using techniques like grid search or Bayesian optimisation.</w:t>
      </w:r>
    </w:p>
    <w:p w14:paraId="5FB4CBAB" w14:textId="77777777" w:rsidR="00B45D7C" w:rsidRDefault="00000000">
      <w:pPr>
        <w:spacing w:after="200" w:line="276" w:lineRule="auto"/>
      </w:pPr>
      <w:r>
        <w:lastRenderedPageBreak/>
        <w:t>Once optimal hyperparameters are identified, the model is retrained on the full training set. SHAP analysis, when enabled via the --save-</w:t>
      </w:r>
      <w:proofErr w:type="spellStart"/>
      <w:r>
        <w:t>shap</w:t>
      </w:r>
      <w:proofErr w:type="spellEnd"/>
      <w:r>
        <w:t xml:space="preserve"> flag, computes explanatory values for each prediction, revealing which features contributed most strongly to each forecast. Finally, the trained model, along with its metadata, preprocessing configuration, and SHAP values, is saved to persistent storage for later use during inference.</w:t>
      </w:r>
    </w:p>
    <w:p w14:paraId="35F64E64" w14:textId="77777777" w:rsidR="00B45D7C" w:rsidRDefault="00000000">
      <w:pPr>
        <w:pStyle w:val="Heading2"/>
      </w:pPr>
      <w:r>
        <w:t>1.5 Scoring and Inference Pipeline</w:t>
      </w:r>
    </w:p>
    <w:p w14:paraId="452A220D" w14:textId="77777777" w:rsidR="00B45D7C" w:rsidRDefault="00000000">
      <w:pPr>
        <w:spacing w:after="200" w:line="276" w:lineRule="auto"/>
      </w:pPr>
      <w:r>
        <w:t>The scoring pipeline, exposed through service/forecast.py, provides a clean API for generating predictions. The process begins when a user provides title metadata, including basic information about the production such as its title, proposed opening date, and category. The feature engineering module applies the same transformations used during training, computing historical priors, economic context, seasonality indicators, and buzz signals.</w:t>
      </w:r>
    </w:p>
    <w:p w14:paraId="7C6930C0" w14:textId="77777777" w:rsidR="00B45D7C" w:rsidRDefault="00000000">
      <w:pPr>
        <w:spacing w:after="200" w:line="276" w:lineRule="auto"/>
      </w:pPr>
      <w:r>
        <w:t>The scoring module loads the persisted model from disk, including all necessary preprocessing configurations and calibration parameters. The model generates a prediction in log-space, which is then inverse-transformed to produce an interpretable ticket count. Simultaneously, SHAP analysis explains the prediction by computing the contribution of each feature. The system returns a structured output containing the predicted ticket count, an optional confidence interval (when available), detailed SHAP values showing feature contributions, and the feature inputs used for transparency.</w:t>
      </w:r>
    </w:p>
    <w:p w14:paraId="6A802265" w14:textId="77777777" w:rsidR="00B45D7C" w:rsidRDefault="00000000">
      <w:pPr>
        <w:spacing w:after="200" w:line="276" w:lineRule="auto"/>
      </w:pPr>
      <w:r>
        <w:t>This scoring interface is designed for integration with various downstream systems. It can be called programmatically from Python code, invoked via command-line scripts for batch processing, or potentially wrapped in a web service API for remote access. The structured output format facilitates integration with dashboards, reporting tools, or decision support applications.</w:t>
      </w:r>
    </w:p>
    <w:p w14:paraId="50B46511" w14:textId="77777777" w:rsidR="00B45D7C" w:rsidRDefault="00000000">
      <w:r>
        <w:br w:type="page"/>
      </w:r>
    </w:p>
    <w:p w14:paraId="339617FD" w14:textId="77777777" w:rsidR="00B45D7C" w:rsidRDefault="00000000">
      <w:pPr>
        <w:pStyle w:val="Heading1"/>
      </w:pPr>
      <w:r>
        <w:lastRenderedPageBreak/>
        <w:t>2. Data Model &amp; Sources</w:t>
      </w:r>
    </w:p>
    <w:p w14:paraId="20232472" w14:textId="77777777" w:rsidR="00B45D7C" w:rsidRDefault="00000000">
      <w:pPr>
        <w:pStyle w:val="Heading2"/>
      </w:pPr>
      <w:r>
        <w:t>2.1 Primary Data Sources and Their Roles</w:t>
      </w:r>
    </w:p>
    <w:p w14:paraId="7F39F397" w14:textId="77777777" w:rsidR="00B45D7C" w:rsidRDefault="00000000">
      <w:pPr>
        <w:spacing w:after="200" w:line="276" w:lineRule="auto"/>
      </w:pPr>
      <w:r>
        <w:t>The Title Scoring App integrates data from multiple sources, each contributing distinct information to the forecasting process. Historical sales data, stored in history_city_sales.csv, provides the foundational training signal. This file contains ticket sales records organised by city, show, and date, capturing the actual outcomes that the model learns to predict. Each record includes not just the ticket count but also contextual information about the venue, performance dates, and basic production characteristics.</w:t>
      </w:r>
    </w:p>
    <w:p w14:paraId="6D42E150" w14:textId="77777777" w:rsidR="00B45D7C" w:rsidRDefault="00000000">
      <w:pPr>
        <w:spacing w:after="200" w:line="276" w:lineRule="auto"/>
      </w:pPr>
      <w:r>
        <w:t>Production metadata, maintained in productions/past_runs.csv, supplies detailed information about each historical production, including normalised title names, opening and closing dates, venue information, and categorical classifications. This metadata enables the system to identify remounts, calculate temporal features like years since last run, and group productions for analysis. The normalisation of title names is particularly important, as the same ballet may be recorded with slight variations in spelling or formatting across different systems.</w:t>
      </w:r>
    </w:p>
    <w:p w14:paraId="39CAA4D6" w14:textId="77777777" w:rsidR="00B45D7C" w:rsidRDefault="00000000">
      <w:pPr>
        <w:spacing w:after="200" w:line="276" w:lineRule="auto"/>
      </w:pPr>
      <w:r>
        <w:t>Economic indicators drawn from Bank of Canada data provide macroeconomic context. These files, stored in the economics/ directory, include consumer price index values for inflation adjustment, oil and energy price indices reflecting Alberta's resource-dependent economy, GDP growth rates, consumer confidence measures, and arts funding levels. These indicators help the model account for broader economic conditions that influence discretionary spending on cultural activities.</w:t>
      </w:r>
    </w:p>
    <w:p w14:paraId="2E227970" w14:textId="77777777" w:rsidR="00B45D7C" w:rsidRDefault="00000000">
      <w:pPr>
        <w:spacing w:after="200" w:line="276" w:lineRule="auto"/>
      </w:pPr>
      <w:r>
        <w:t>Audience engagement metrics from audiences/nanos_arts_donors.csv capture regional sentiment towards arts and cultural activities. These data reflect donation patterns, attendance trends, and demographic characteristics of arts audiences. The features/ directory contains buzz signals scraped from online platforms, including Wikipedia page view counts, Google Trends search interest indices, Spotify streaming data, and YouTube video views and engagement metrics. These signals serve as proxies for public awareness and interest in specific titles.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4"/>
        <w:gridCol w:w="5560"/>
      </w:tblGrid>
      <w:tr w:rsidR="00B45D7C" w14:paraId="45E370F5" w14:textId="77777777">
        <w:tblPrEx>
          <w:tblCellMar>
            <w:top w:w="0" w:type="dxa"/>
            <w:bottom w:w="0" w:type="dxa"/>
          </w:tblCellMar>
        </w:tblPrEx>
        <w:trPr>
          <w:tblHeader/>
        </w:trPr>
        <w:tc>
          <w:tcPr>
            <w:tcW w:w="3500" w:type="dxa"/>
            <w:tcBorders>
              <w:top w:val="single" w:sz="1" w:space="0" w:color="999999"/>
              <w:left w:val="single" w:sz="1" w:space="0" w:color="999999"/>
              <w:bottom w:val="single" w:sz="1" w:space="0" w:color="999999"/>
              <w:right w:val="single" w:sz="1" w:space="0" w:color="999999"/>
            </w:tcBorders>
            <w:shd w:val="clear" w:color="auto" w:fill="E8E8E8"/>
          </w:tcPr>
          <w:p w14:paraId="7B999367" w14:textId="77777777" w:rsidR="00B45D7C" w:rsidRDefault="00000000">
            <w:pPr>
              <w:jc w:val="center"/>
            </w:pPr>
            <w:r>
              <w:rPr>
                <w:rFonts w:ascii="Arial" w:eastAsia="Arial" w:hAnsi="Arial" w:cs="Arial"/>
                <w:b/>
                <w:bCs/>
                <w:sz w:val="22"/>
                <w:szCs w:val="22"/>
              </w:rPr>
              <w:t>File</w:t>
            </w:r>
          </w:p>
        </w:tc>
        <w:tc>
          <w:tcPr>
            <w:tcW w:w="5860" w:type="dxa"/>
            <w:tcBorders>
              <w:top w:val="single" w:sz="1" w:space="0" w:color="999999"/>
              <w:left w:val="single" w:sz="1" w:space="0" w:color="999999"/>
              <w:bottom w:val="single" w:sz="1" w:space="0" w:color="999999"/>
              <w:right w:val="single" w:sz="1" w:space="0" w:color="999999"/>
            </w:tcBorders>
            <w:shd w:val="clear" w:color="auto" w:fill="E8E8E8"/>
          </w:tcPr>
          <w:p w14:paraId="4DB8CED4" w14:textId="77777777" w:rsidR="00B45D7C" w:rsidRDefault="00000000">
            <w:pPr>
              <w:jc w:val="center"/>
            </w:pPr>
            <w:r>
              <w:rPr>
                <w:rFonts w:ascii="Arial" w:eastAsia="Arial" w:hAnsi="Arial" w:cs="Arial"/>
                <w:b/>
                <w:bCs/>
                <w:sz w:val="22"/>
                <w:szCs w:val="22"/>
              </w:rPr>
              <w:t>Description</w:t>
            </w:r>
          </w:p>
        </w:tc>
      </w:tr>
      <w:tr w:rsidR="00B45D7C" w14:paraId="4FEA5155"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41714DF5" w14:textId="77777777" w:rsidR="00B45D7C" w:rsidRDefault="00000000">
            <w:r>
              <w:rPr>
                <w:sz w:val="22"/>
                <w:szCs w:val="22"/>
              </w:rPr>
              <w:t>history_city_sales.csv</w:t>
            </w:r>
          </w:p>
        </w:tc>
        <w:tc>
          <w:tcPr>
            <w:tcW w:w="5860" w:type="dxa"/>
            <w:tcBorders>
              <w:top w:val="single" w:sz="1" w:space="0" w:color="999999"/>
              <w:left w:val="single" w:sz="1" w:space="0" w:color="999999"/>
              <w:bottom w:val="single" w:sz="1" w:space="0" w:color="999999"/>
              <w:right w:val="single" w:sz="1" w:space="0" w:color="999999"/>
            </w:tcBorders>
          </w:tcPr>
          <w:p w14:paraId="32C87982" w14:textId="77777777" w:rsidR="00B45D7C" w:rsidRDefault="00000000">
            <w:r>
              <w:rPr>
                <w:sz w:val="22"/>
                <w:szCs w:val="22"/>
              </w:rPr>
              <w:t>Ticket sales by city, show, and date</w:t>
            </w:r>
          </w:p>
        </w:tc>
      </w:tr>
      <w:tr w:rsidR="00B45D7C" w14:paraId="078B599B"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6B3F134D" w14:textId="77777777" w:rsidR="00B45D7C" w:rsidRDefault="00000000">
            <w:r>
              <w:rPr>
                <w:sz w:val="22"/>
                <w:szCs w:val="22"/>
              </w:rPr>
              <w:t>productions/past_runs.csv</w:t>
            </w:r>
          </w:p>
        </w:tc>
        <w:tc>
          <w:tcPr>
            <w:tcW w:w="5860" w:type="dxa"/>
            <w:tcBorders>
              <w:top w:val="single" w:sz="1" w:space="0" w:color="999999"/>
              <w:left w:val="single" w:sz="1" w:space="0" w:color="999999"/>
              <w:bottom w:val="single" w:sz="1" w:space="0" w:color="999999"/>
              <w:right w:val="single" w:sz="1" w:space="0" w:color="999999"/>
            </w:tcBorders>
          </w:tcPr>
          <w:p w14:paraId="6DD4609D" w14:textId="77777777" w:rsidR="00B45D7C" w:rsidRDefault="00000000">
            <w:r>
              <w:rPr>
                <w:sz w:val="22"/>
                <w:szCs w:val="22"/>
              </w:rPr>
              <w:t>Metadata on past productions (titles, dates, venues)</w:t>
            </w:r>
          </w:p>
        </w:tc>
      </w:tr>
      <w:tr w:rsidR="00B45D7C" w14:paraId="6DDA4CC7"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07F93873" w14:textId="77777777" w:rsidR="00B45D7C" w:rsidRDefault="00000000">
            <w:r>
              <w:rPr>
                <w:sz w:val="22"/>
                <w:szCs w:val="22"/>
              </w:rPr>
              <w:t>data/segment_priors.csv</w:t>
            </w:r>
          </w:p>
        </w:tc>
        <w:tc>
          <w:tcPr>
            <w:tcW w:w="5860" w:type="dxa"/>
            <w:tcBorders>
              <w:top w:val="single" w:sz="1" w:space="0" w:color="999999"/>
              <w:left w:val="single" w:sz="1" w:space="0" w:color="999999"/>
              <w:bottom w:val="single" w:sz="1" w:space="0" w:color="999999"/>
              <w:right w:val="single" w:sz="1" w:space="0" w:color="999999"/>
            </w:tcBorders>
          </w:tcPr>
          <w:p w14:paraId="7EF73C89" w14:textId="77777777" w:rsidR="00B45D7C" w:rsidRDefault="00000000">
            <w:r>
              <w:rPr>
                <w:sz w:val="22"/>
                <w:szCs w:val="22"/>
              </w:rPr>
              <w:t>Prior engagement metrics by audience segment</w:t>
            </w:r>
          </w:p>
        </w:tc>
      </w:tr>
      <w:tr w:rsidR="00B45D7C" w14:paraId="20F19DC3"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6AC0559E" w14:textId="77777777" w:rsidR="00B45D7C" w:rsidRDefault="00000000">
            <w:r>
              <w:rPr>
                <w:sz w:val="22"/>
                <w:szCs w:val="22"/>
              </w:rPr>
              <w:t>economics/*.csv</w:t>
            </w:r>
          </w:p>
        </w:tc>
        <w:tc>
          <w:tcPr>
            <w:tcW w:w="5860" w:type="dxa"/>
            <w:tcBorders>
              <w:top w:val="single" w:sz="1" w:space="0" w:color="999999"/>
              <w:left w:val="single" w:sz="1" w:space="0" w:color="999999"/>
              <w:bottom w:val="single" w:sz="1" w:space="0" w:color="999999"/>
              <w:right w:val="single" w:sz="1" w:space="0" w:color="999999"/>
            </w:tcBorders>
          </w:tcPr>
          <w:p w14:paraId="6FA17AD1" w14:textId="77777777" w:rsidR="00B45D7C" w:rsidRDefault="00000000">
            <w:r>
              <w:rPr>
                <w:sz w:val="22"/>
                <w:szCs w:val="22"/>
              </w:rPr>
              <w:t>Bank of Canada data: oil prices, CPI, GDP, confidence, arts funding</w:t>
            </w:r>
          </w:p>
        </w:tc>
      </w:tr>
      <w:tr w:rsidR="00B45D7C" w14:paraId="7DFB9702"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703E02A6" w14:textId="77777777" w:rsidR="00B45D7C" w:rsidRDefault="00000000">
            <w:r>
              <w:rPr>
                <w:sz w:val="22"/>
                <w:szCs w:val="22"/>
              </w:rPr>
              <w:t>audiences/nanos_arts_donors.csv</w:t>
            </w:r>
          </w:p>
        </w:tc>
        <w:tc>
          <w:tcPr>
            <w:tcW w:w="5860" w:type="dxa"/>
            <w:tcBorders>
              <w:top w:val="single" w:sz="1" w:space="0" w:color="999999"/>
              <w:left w:val="single" w:sz="1" w:space="0" w:color="999999"/>
              <w:bottom w:val="single" w:sz="1" w:space="0" w:color="999999"/>
              <w:right w:val="single" w:sz="1" w:space="0" w:color="999999"/>
            </w:tcBorders>
          </w:tcPr>
          <w:p w14:paraId="15F89F15" w14:textId="77777777" w:rsidR="00B45D7C" w:rsidRDefault="00000000">
            <w:r>
              <w:rPr>
                <w:sz w:val="22"/>
                <w:szCs w:val="22"/>
              </w:rPr>
              <w:t>Arts audience sentiment and donation patterns</w:t>
            </w:r>
          </w:p>
        </w:tc>
      </w:tr>
      <w:tr w:rsidR="00B45D7C" w14:paraId="6C081256"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Pr>
          <w:p w14:paraId="37DD1247" w14:textId="77777777" w:rsidR="00B45D7C" w:rsidRDefault="00000000">
            <w:r>
              <w:rPr>
                <w:sz w:val="22"/>
                <w:szCs w:val="22"/>
              </w:rPr>
              <w:t>features/</w:t>
            </w:r>
          </w:p>
        </w:tc>
        <w:tc>
          <w:tcPr>
            <w:tcW w:w="5860" w:type="dxa"/>
            <w:tcBorders>
              <w:top w:val="single" w:sz="1" w:space="0" w:color="999999"/>
              <w:left w:val="single" w:sz="1" w:space="0" w:color="999999"/>
              <w:bottom w:val="single" w:sz="1" w:space="0" w:color="999999"/>
              <w:right w:val="single" w:sz="1" w:space="0" w:color="999999"/>
            </w:tcBorders>
          </w:tcPr>
          <w:p w14:paraId="3712EC82" w14:textId="77777777" w:rsidR="00B45D7C" w:rsidRDefault="00000000">
            <w:r>
              <w:rPr>
                <w:sz w:val="22"/>
                <w:szCs w:val="22"/>
              </w:rPr>
              <w:t>Wikipedia, Google Trends, Spotify, YouTube popularity signals</w:t>
            </w:r>
          </w:p>
        </w:tc>
      </w:tr>
    </w:tbl>
    <w:p w14:paraId="0CB468A7" w14:textId="77777777" w:rsidR="00B45D7C" w:rsidRDefault="00000000">
      <w:pPr>
        <w:spacing w:before="100" w:after="300"/>
        <w:jc w:val="center"/>
      </w:pPr>
      <w:r>
        <w:rPr>
          <w:rFonts w:ascii="Arial" w:eastAsia="Arial" w:hAnsi="Arial" w:cs="Arial"/>
          <w:i/>
          <w:iCs/>
          <w:sz w:val="22"/>
          <w:szCs w:val="22"/>
        </w:rPr>
        <w:t>Table 3: Primary Data Sources</w:t>
      </w:r>
    </w:p>
    <w:p w14:paraId="001F8871" w14:textId="77777777" w:rsidR="00B45D7C" w:rsidRDefault="00000000">
      <w:pPr>
        <w:pStyle w:val="Heading2"/>
      </w:pPr>
      <w:r>
        <w:t>2.2 Data Integration Through Join Keys</w:t>
      </w:r>
    </w:p>
    <w:p w14:paraId="54C20C40" w14:textId="77777777" w:rsidR="00B45D7C" w:rsidRDefault="00000000">
      <w:pPr>
        <w:spacing w:after="200" w:line="276" w:lineRule="auto"/>
      </w:pPr>
      <w:r>
        <w:t xml:space="preserve">Integrating these diverse data sources requires careful attention to join keys and alignment strategies. The </w:t>
      </w:r>
      <w:proofErr w:type="spellStart"/>
      <w:r>
        <w:t>canonical_title</w:t>
      </w:r>
      <w:proofErr w:type="spellEnd"/>
      <w:r>
        <w:t xml:space="preserve"> field serves as the primary identifier for matching production </w:t>
      </w:r>
      <w:r>
        <w:lastRenderedPageBreak/>
        <w:t xml:space="preserve">records across different sources. This normalised title format handles variations in spelling, punctuation, and formatting, ensuring that "The Nutcracker" and "The </w:t>
      </w:r>
      <w:proofErr w:type="gramStart"/>
      <w:r>
        <w:t>Nut Cracker</w:t>
      </w:r>
      <w:proofErr w:type="gramEnd"/>
      <w:r>
        <w:t>" are recognised as the same work. The normalisation process involves case standardisation, punctuation removal, and common abbreviation expansion.</w:t>
      </w:r>
    </w:p>
    <w:p w14:paraId="335CCBBE" w14:textId="77777777" w:rsidR="00B45D7C" w:rsidRDefault="00000000">
      <w:pPr>
        <w:spacing w:after="200" w:line="276" w:lineRule="auto"/>
      </w:pPr>
      <w:r>
        <w:t xml:space="preserve">Geographic matching uses the city or location field to align economic indicators, demographic data, and venue information. The system recognises that economic conditions in Calgary may differ substantially from those in Edmonton, and it accounts for these geographic variations in its predictions. Temporal alignment relies on </w:t>
      </w:r>
      <w:proofErr w:type="spellStart"/>
      <w:r>
        <w:t>performance_date</w:t>
      </w:r>
      <w:proofErr w:type="spellEnd"/>
      <w:r>
        <w:t xml:space="preserve"> and </w:t>
      </w:r>
      <w:proofErr w:type="spellStart"/>
      <w:r>
        <w:t>opening_date</w:t>
      </w:r>
      <w:proofErr w:type="spellEnd"/>
      <w:r>
        <w:t xml:space="preserve"> fields to ensure that economic indicators, buzz signals, and seasonal features reflect conditions at the time of the production rather than present conditions.</w:t>
      </w:r>
    </w:p>
    <w:p w14:paraId="0A010DBF" w14:textId="77777777" w:rsidR="00B45D7C" w:rsidRDefault="00000000">
      <w:pPr>
        <w:spacing w:after="200" w:line="276" w:lineRule="auto"/>
      </w:pPr>
      <w:r>
        <w:t>The join process implements several validation checks to ensure data quality. Records with missing critical join keys are flagged for manual review. Temporal inconsistencies, such as a production's closing date preceding its opening date, trigger warnings. Geographic mismatches, where venue locations do not align with recorded cities, are identified and corrected. These validation steps prevent garbage data from entering the training pipeline and degrading model performance.</w:t>
      </w:r>
    </w:p>
    <w:p w14:paraId="65790411" w14:textId="77777777" w:rsidR="00B45D7C" w:rsidRDefault="00000000">
      <w:pPr>
        <w:pStyle w:val="Heading2"/>
      </w:pPr>
      <w:r>
        <w:t>2.3 Data Update Cadence and Temporal Considerations</w:t>
      </w:r>
    </w:p>
    <w:p w14:paraId="6E9DFC68" w14:textId="77777777" w:rsidR="00B45D7C" w:rsidRDefault="00000000">
      <w:pPr>
        <w:spacing w:after="200" w:line="276" w:lineRule="auto"/>
      </w:pPr>
      <w:r>
        <w:t>Different data sources refresh at different cadences, requiring careful orchestration of updates. Macroeconomic indicators from the Bank of Canada arrive monthly or quarterly, depending on the specific indicator. GDP figures are released quarterly with a lag of several weeks, whilst consumer price index values arrive monthly. Oil price indices update daily but are typically aggregated to monthly averages for modelling purposes. Consumer confidence surveys are conducted quarterly. Arts funding data refreshes annually with government budget cycles.</w:t>
      </w:r>
    </w:p>
    <w:p w14:paraId="3DE901C4" w14:textId="77777777" w:rsidR="00B45D7C" w:rsidRDefault="00000000">
      <w:pPr>
        <w:spacing w:after="200" w:line="276" w:lineRule="auto"/>
      </w:pPr>
      <w:r>
        <w:t xml:space="preserve">Sales and production data are episodic and </w:t>
      </w:r>
      <w:proofErr w:type="gramStart"/>
      <w:r>
        <w:t>event-driven</w:t>
      </w:r>
      <w:proofErr w:type="gramEnd"/>
      <w:r>
        <w:t>. New records appear after each performance run, typically within days of a show's closing. Historical data corrections occasionally occur as box office systems are reconciled and finalised. The production metadata file is updated as new shows are announced and scheduled, usually months in advance of performance dates.</w:t>
      </w:r>
    </w:p>
    <w:p w14:paraId="2EF589E8" w14:textId="77777777" w:rsidR="00B45D7C" w:rsidRDefault="00000000">
      <w:pPr>
        <w:spacing w:after="200" w:line="276" w:lineRule="auto"/>
      </w:pPr>
      <w:r>
        <w:t>Buzz signals from online platforms require periodic scraping to remain current. Wikipedia page view data is available daily with a short lag. Google Trends data updates weekly for most queries. Spotify streaming data, when available, reflects weekly listening patterns. YouTube metrics update frequently but may require rate-limited API calls. Currently, these buzz signals require manual or semi-automated updates, representing an opportunity for improvement through automated scheduled scraping.</w:t>
      </w:r>
    </w:p>
    <w:p w14:paraId="1CB84A9F" w14:textId="77777777" w:rsidR="00B45D7C" w:rsidRDefault="00000000">
      <w:pPr>
        <w:pStyle w:val="Heading2"/>
      </w:pPr>
      <w:r>
        <w:t>2.4 Data Leakage Prevention Mechanisms</w:t>
      </w:r>
    </w:p>
    <w:p w14:paraId="65137839" w14:textId="77777777" w:rsidR="00B45D7C" w:rsidRDefault="00000000">
      <w:pPr>
        <w:spacing w:after="200" w:line="276" w:lineRule="auto"/>
      </w:pPr>
      <w:r>
        <w:t xml:space="preserve">Preventing data leakage is critical for valid forecasting. Data leakage occurs when information from the future inadvertently influences predictions about the past, artificially </w:t>
      </w:r>
      <w:r>
        <w:lastRenderedPageBreak/>
        <w:t>inflating apparent model performance whilst compromising real-world predictive accuracy. The system implements multiple defensive mechanisms to prevent such leakage.</w:t>
      </w:r>
    </w:p>
    <w:p w14:paraId="36F800F8" w14:textId="77777777" w:rsidR="00B45D7C" w:rsidRDefault="00000000">
      <w:pPr>
        <w:spacing w:after="200" w:line="276" w:lineRule="auto"/>
      </w:pPr>
      <w:r>
        <w:t xml:space="preserve">The training pipeline uses </w:t>
      </w:r>
      <w:proofErr w:type="spellStart"/>
      <w:r>
        <w:t>get_cv_</w:t>
      </w:r>
      <w:proofErr w:type="gramStart"/>
      <w:r>
        <w:t>splitter</w:t>
      </w:r>
      <w:proofErr w:type="spellEnd"/>
      <w:r>
        <w:t>(</w:t>
      </w:r>
      <w:proofErr w:type="gramEnd"/>
      <w:r>
        <w:t>) from ml/time_splits.py, which enforces strictly chronological cross-validation. Each validation fold contains only data from dates after all training data in that fold. This ensures that the model never "sees the future" during training. The implementation explicitly checks for the presence of a date column and raises an error if temporal ordering cannot be established, preventing accidental fallback to random splitting.</w:t>
      </w:r>
    </w:p>
    <w:p w14:paraId="6349F0E6" w14:textId="77777777" w:rsidR="00B45D7C" w:rsidRDefault="00000000">
      <w:pPr>
        <w:spacing w:after="200" w:line="276" w:lineRule="auto"/>
      </w:pPr>
      <w:r>
        <w:t xml:space="preserve">Feature engineering respects temporal boundaries by computing features using only information available before a production's opening date. For example, when calculating </w:t>
      </w:r>
      <w:proofErr w:type="spellStart"/>
      <w:r>
        <w:t>prior_total_tickets</w:t>
      </w:r>
      <w:proofErr w:type="spellEnd"/>
      <w:r>
        <w:t xml:space="preserve"> for a 2020 production, the system includes only ticket sales from runs that closed before that production's opening. Economic indicators are lagged appropriately, using values from the month preceding or concurrent with the opening date rather than future values. Buzz signals are computed from windows preceding the opening date, not from concurrent or future periods.</w:t>
      </w:r>
    </w:p>
    <w:p w14:paraId="26AB9A59" w14:textId="77777777" w:rsidR="00B45D7C" w:rsidRDefault="00000000">
      <w:pPr>
        <w:spacing w:after="200" w:line="276" w:lineRule="auto"/>
      </w:pPr>
      <w:r>
        <w:t>The system maintains an explicit leakage audit file, ml_leakage_audit_alberta_ballet.csv, which flags potentially problematic features. Any feature that could contain future information, such as total lifetime ticket sales without temporal filtering, is identified and excluded from the modelling pipeline. This audit file is reviewed during each training run, and violations trigger errors that halt execution. Automated tests in the tests/ directory verify that no forbidden features appear in the training data and that cross-validation splits maintain proper chronological ordering.</w:t>
      </w:r>
    </w:p>
    <w:p w14:paraId="204D064D" w14:textId="77777777" w:rsidR="00B45D7C" w:rsidRDefault="00000000">
      <w:r>
        <w:br w:type="page"/>
      </w:r>
    </w:p>
    <w:p w14:paraId="45F773C4" w14:textId="77777777" w:rsidR="00B45D7C" w:rsidRDefault="00000000">
      <w:pPr>
        <w:pStyle w:val="Heading1"/>
      </w:pPr>
      <w:r>
        <w:lastRenderedPageBreak/>
        <w:t>3. Feature Engineering</w:t>
      </w:r>
    </w:p>
    <w:p w14:paraId="4120FE18" w14:textId="77777777" w:rsidR="00B45D7C" w:rsidRDefault="00000000">
      <w:pPr>
        <w:spacing w:after="200" w:line="276" w:lineRule="auto"/>
      </w:pPr>
      <w:r>
        <w:t>Feature engineering transforms raw data into predictive signals that the machine learning model can effectively utilise. This section describes the mathematical transformations and their practical interpretations. The feature engineering logic is distributed across multiple modules in the features/ directory, with title_features.py handling production-specific features, economic_features.py processing macroeconomic indicators, and buzz_features.py managing online engagement signals.</w:t>
      </w:r>
    </w:p>
    <w:p w14:paraId="29C0BB08" w14:textId="77777777" w:rsidR="00B45D7C" w:rsidRDefault="00000000">
      <w:pPr>
        <w:pStyle w:val="Heading2"/>
      </w:pPr>
      <w:r>
        <w:t>3.1 Historical Performance Priors</w:t>
      </w:r>
    </w:p>
    <w:p w14:paraId="61D3F35A" w14:textId="77777777" w:rsidR="00B45D7C" w:rsidRDefault="00000000">
      <w:pPr>
        <w:spacing w:after="200" w:line="276" w:lineRule="auto"/>
      </w:pPr>
      <w:r>
        <w:t xml:space="preserve">Historical priors capture what we know about a title's past performance, providing the strongest predictive signal for remounts. The variable </w:t>
      </w:r>
      <w:proofErr w:type="spellStart"/>
      <w:r>
        <w:t>prior_total_tickets</w:t>
      </w:r>
      <w:proofErr w:type="spellEnd"/>
      <w:r>
        <w:t xml:space="preserve"> represents the cumulative sum of tickets sold across all previous runs of the same title. Mathematically, for title </w:t>
      </w:r>
      <w:proofErr w:type="spellStart"/>
      <w:r>
        <w:t>i</w:t>
      </w:r>
      <w:proofErr w:type="spellEnd"/>
      <w:r>
        <w:t xml:space="preserve"> with n prior runs, this is computed as the sum of tickets across all runs r from 1 </w:t>
      </w:r>
      <w:proofErr w:type="spellStart"/>
      <w:r>
        <w:t>to n</w:t>
      </w:r>
      <w:proofErr w:type="spellEnd"/>
      <w:r>
        <w:t>. This simple aggregation provides a robust measure of a title's historical drawing power. A production that has historically sold tens of thousands of tickets across multiple runs demonstrates proven audience appeal. The summation includes only runs that closed before the current production's opening date, ensuring temporal consistency.</w:t>
      </w:r>
    </w:p>
    <w:p w14:paraId="1B2BAE8C" w14:textId="77777777" w:rsidR="00B45D7C" w:rsidRDefault="00000000">
      <w:pPr>
        <w:spacing w:after="200" w:line="276" w:lineRule="auto"/>
      </w:pPr>
      <w:r>
        <w:t xml:space="preserve">The </w:t>
      </w:r>
      <w:proofErr w:type="spellStart"/>
      <w:r>
        <w:t>ticket_median_prior</w:t>
      </w:r>
      <w:proofErr w:type="spellEnd"/>
      <w:r>
        <w:t xml:space="preserve"> variable captures typical performance whilst remaining robust to outliers. The median represents the middle value when prior ticket sales are arranged in order. For a title with prior sales of 500, 1,200, 1,500, and 8,000 tickets, the median of 1,350 tickets provides a more representative measure of typical performance than the mean of 2,800 tickets, which is skewed by the single exceptional run.</w:t>
      </w:r>
    </w:p>
    <w:p w14:paraId="75D3E515" w14:textId="77777777" w:rsidR="00B45D7C" w:rsidRDefault="00000000">
      <w:pPr>
        <w:spacing w:after="200" w:line="276" w:lineRule="auto"/>
      </w:pPr>
      <w:r>
        <w:t xml:space="preserve">The </w:t>
      </w:r>
      <w:proofErr w:type="spellStart"/>
      <w:r>
        <w:t>prior_run_count</w:t>
      </w:r>
      <w:proofErr w:type="spellEnd"/>
      <w:r>
        <w:t xml:space="preserve"> variable simply counts how many times a title has been performed, providing information about both popularity and potential audience saturation. A title performed once might be relatively unknown or untested. A title performed many times demonstrates either sustained popularity or institutional commitment. However, very high run counts might indicate market saturation, where potential audiences have already seen the production.</w:t>
      </w:r>
    </w:p>
    <w:p w14:paraId="5D08479F" w14:textId="77777777" w:rsidR="00B45D7C" w:rsidRDefault="00000000">
      <w:pPr>
        <w:pStyle w:val="Heading2"/>
      </w:pPr>
      <w:r>
        <w:t>3.2 Remount Timing Features</w:t>
      </w:r>
    </w:p>
    <w:p w14:paraId="21B0754E" w14:textId="77777777" w:rsidR="00B45D7C" w:rsidRDefault="00000000">
      <w:pPr>
        <w:spacing w:after="200" w:line="276" w:lineRule="auto"/>
      </w:pPr>
      <w:r>
        <w:t xml:space="preserve">Remount features capture the temporal dynamics of bringing back a previously performed production. The variable </w:t>
      </w:r>
      <w:proofErr w:type="spellStart"/>
      <w:r>
        <w:t>years_since_last_run</w:t>
      </w:r>
      <w:proofErr w:type="spellEnd"/>
      <w:r>
        <w:t xml:space="preserve"> calculates the time elapsed since the most recent performance by subtracting the year of the last run from the current opening year. This continuous variable allows the model to learn non-linear relationships between remount timing and demand. Audience interest might initially decline after a production but potentially rebound after sufficient time has passed for new audiences to emerge or nostalgia to develop.</w:t>
      </w:r>
    </w:p>
    <w:p w14:paraId="09910350" w14:textId="77777777" w:rsidR="00B45D7C" w:rsidRDefault="00000000">
      <w:pPr>
        <w:spacing w:after="200" w:line="276" w:lineRule="auto"/>
      </w:pPr>
      <w:r>
        <w:t xml:space="preserve">The </w:t>
      </w:r>
      <w:proofErr w:type="spellStart"/>
      <w:r>
        <w:t>boolean</w:t>
      </w:r>
      <w:proofErr w:type="spellEnd"/>
      <w:r>
        <w:t xml:space="preserve"> indicators </w:t>
      </w:r>
      <w:proofErr w:type="spellStart"/>
      <w:r>
        <w:t>is_remount_recent</w:t>
      </w:r>
      <w:proofErr w:type="spellEnd"/>
      <w:r>
        <w:t xml:space="preserve"> and </w:t>
      </w:r>
      <w:proofErr w:type="spellStart"/>
      <w:r>
        <w:t>is_remount_medium</w:t>
      </w:r>
      <w:proofErr w:type="spellEnd"/>
      <w:r>
        <w:t xml:space="preserve"> </w:t>
      </w:r>
      <w:proofErr w:type="spellStart"/>
      <w:r>
        <w:t>discretise</w:t>
      </w:r>
      <w:proofErr w:type="spellEnd"/>
      <w:r>
        <w:t xml:space="preserve"> this temporal information into categories. A remount is considered recent if it occurred within the past five years. Recent remounts may face reduced demand due to limited novelty. Audience members </w:t>
      </w:r>
      <w:r>
        <w:lastRenderedPageBreak/>
        <w:t>who saw the production recently might be less inclined to see it again, especially if the creative interpretation remains similar.</w:t>
      </w:r>
    </w:p>
    <w:p w14:paraId="1B38BC9A" w14:textId="77777777" w:rsidR="00B45D7C" w:rsidRDefault="00000000">
      <w:pPr>
        <w:spacing w:after="200" w:line="276" w:lineRule="auto"/>
      </w:pPr>
      <w:r>
        <w:t xml:space="preserve">The medium-term remount indicator identifies productions returning after a moderate absence, specifically those where </w:t>
      </w:r>
      <w:proofErr w:type="spellStart"/>
      <w:r>
        <w:t>years_since</w:t>
      </w:r>
      <w:proofErr w:type="spellEnd"/>
      <w:r>
        <w:t xml:space="preserve"> is greater than two but no more than five. This category captures a sweet spot where enough time has passed to reduce direct competition with memories of the previous run, whilst the production remains recent enough to benefit from residual awareness.</w:t>
      </w:r>
    </w:p>
    <w:p w14:paraId="6AA81DAF" w14:textId="77777777" w:rsidR="00B45D7C" w:rsidRDefault="00000000">
      <w:pPr>
        <w:pStyle w:val="Heading2"/>
      </w:pPr>
      <w:r>
        <w:t>3.3 Seasonality and Temporal Features</w:t>
      </w:r>
    </w:p>
    <w:p w14:paraId="4E87B630" w14:textId="77777777" w:rsidR="00B45D7C" w:rsidRDefault="00000000">
      <w:pPr>
        <w:spacing w:after="200" w:line="276" w:lineRule="auto"/>
      </w:pPr>
      <w:r>
        <w:t xml:space="preserve">Seasonal patterns significantly influence ballet attendance. The system extracts multiple temporal features from the </w:t>
      </w:r>
      <w:proofErr w:type="spellStart"/>
      <w:r>
        <w:t>opening_date</w:t>
      </w:r>
      <w:proofErr w:type="spellEnd"/>
      <w:r>
        <w:t xml:space="preserve"> field. The </w:t>
      </w:r>
      <w:proofErr w:type="spellStart"/>
      <w:r>
        <w:t>month_of_opening</w:t>
      </w:r>
      <w:proofErr w:type="spellEnd"/>
      <w:r>
        <w:t xml:space="preserve"> variable captures which month the production begins, providing a numeric value from 1 to 12 that allows the model to learn month-specific patterns. December, for instance, shows elevated demand for holiday-themed productions like The Nutcracker. Spring months might see different audience behaviour than autumn months.</w:t>
      </w:r>
    </w:p>
    <w:p w14:paraId="476533B1" w14:textId="77777777" w:rsidR="00B45D7C" w:rsidRDefault="00000000">
      <w:pPr>
        <w:spacing w:after="200" w:line="276" w:lineRule="auto"/>
      </w:pPr>
      <w:r>
        <w:t xml:space="preserve">The </w:t>
      </w:r>
      <w:proofErr w:type="spellStart"/>
      <w:r>
        <w:t>holiday_flag</w:t>
      </w:r>
      <w:proofErr w:type="spellEnd"/>
      <w:r>
        <w:t xml:space="preserve"> indicator identifies productions opening during holiday periods. Holiday windows include not just statutory holidays but also extended periods like the Christmas season from mid-December through early January, when families have more leisure time and gift-giving creates opportunities for cultural outings. The </w:t>
      </w:r>
      <w:proofErr w:type="spellStart"/>
      <w:r>
        <w:t>opening_week_of_year</w:t>
      </w:r>
      <w:proofErr w:type="spellEnd"/>
      <w:r>
        <w:t xml:space="preserve"> feature provides finer temporal granularity than months, ranging from 1 to 52. This allows the model to detect week-specific patterns, such as spring break effects or patterns around specific festival dates.</w:t>
      </w:r>
    </w:p>
    <w:p w14:paraId="107CE87E" w14:textId="77777777" w:rsidR="00B45D7C" w:rsidRDefault="00000000">
      <w:pPr>
        <w:spacing w:after="200" w:line="276" w:lineRule="auto"/>
      </w:pPr>
      <w:r>
        <w:t xml:space="preserve">Several one-hot encoded seasonal indicators partition the year into meaningful periods. The </w:t>
      </w:r>
      <w:proofErr w:type="spellStart"/>
      <w:r>
        <w:t>opening_is_summer</w:t>
      </w:r>
      <w:proofErr w:type="spellEnd"/>
      <w:r>
        <w:t xml:space="preserve"> indicator identifies productions in June, July, or August, when school schedules and vacation patterns influence attendance. The </w:t>
      </w:r>
      <w:proofErr w:type="spellStart"/>
      <w:r>
        <w:t>opening_is_holiday_season</w:t>
      </w:r>
      <w:proofErr w:type="spellEnd"/>
      <w:r>
        <w:t xml:space="preserve"> flag marks the lucrative December-January period. The </w:t>
      </w:r>
      <w:proofErr w:type="spellStart"/>
      <w:r>
        <w:t>opening_is_weekend</w:t>
      </w:r>
      <w:proofErr w:type="spellEnd"/>
      <w:r>
        <w:t xml:space="preserve"> indicator notes weekend openings, which might benefit from stronger initial word-of-mouth.</w:t>
      </w:r>
    </w:p>
    <w:p w14:paraId="22EFDF6D" w14:textId="77777777" w:rsidR="00B45D7C" w:rsidRDefault="00000000">
      <w:pPr>
        <w:pStyle w:val="Heading2"/>
      </w:pPr>
      <w:r>
        <w:t>3.4 Economic Normalisation and Context</w:t>
      </w:r>
    </w:p>
    <w:p w14:paraId="675B0E2B" w14:textId="77777777" w:rsidR="00B45D7C" w:rsidRDefault="00000000">
      <w:pPr>
        <w:spacing w:after="200" w:line="276" w:lineRule="auto"/>
      </w:pPr>
      <w:r>
        <w:t xml:space="preserve">Economic features adjust for macroeconomic conditions that influence discretionary spending on cultural activities. The </w:t>
      </w:r>
      <w:proofErr w:type="spellStart"/>
      <w:r>
        <w:t>inflation_adjustment_factor</w:t>
      </w:r>
      <w:proofErr w:type="spellEnd"/>
      <w:r>
        <w:t xml:space="preserve"> is crucial for comparing ticket sales across different years. It normalises historical values to constant-dollar terms using the Consumer Price Index, calculated as the ratio of CPI in a reference year to CPI in the year of the run. This ratio converts historical ticket sales to equivalent purchasing power in a reference year. A production that sold 1,000 tickets in 2010, when the CPI was 80, represents different real value than 1,000 tickets in 2020, when the CPI might have been 100. Multiplying the 2010 sales by 100/80 gives an inflation-adjusted value of 1,250 tickets in 2020 equivalent dollars.</w:t>
      </w:r>
    </w:p>
    <w:p w14:paraId="2B3B82F4" w14:textId="77777777" w:rsidR="00B45D7C" w:rsidRDefault="00000000">
      <w:pPr>
        <w:spacing w:after="200" w:line="276" w:lineRule="auto"/>
      </w:pPr>
      <w:r>
        <w:t xml:space="preserve">Oil and energy price indices reflect Alberta's resource-dependent economy. The </w:t>
      </w:r>
      <w:proofErr w:type="spellStart"/>
      <w:r>
        <w:t>energy_index</w:t>
      </w:r>
      <w:proofErr w:type="spellEnd"/>
      <w:r>
        <w:t xml:space="preserve"> variable, constructed from commodity price data, serves as a proxy for broader </w:t>
      </w:r>
      <w:r>
        <w:lastRenderedPageBreak/>
        <w:t>economic conditions in the region. When energy prices are high, employment in the energy sector rises, disposable incomes increase, and discretionary spending on arts and culture tends to follow. The relationship is not instantaneous—there are lag effects as economic conditions filter through to household budgets and spending decisions—but the correlation is substantial enough to provide predictive value.</w:t>
      </w:r>
    </w:p>
    <w:p w14:paraId="251BA3BB" w14:textId="77777777" w:rsidR="00B45D7C" w:rsidRDefault="00000000">
      <w:pPr>
        <w:spacing w:after="200" w:line="276" w:lineRule="auto"/>
      </w:pPr>
      <w:r>
        <w:t xml:space="preserve">Consumer confidence indices measure household sentiment about economic prospects. These forward-looking indicators, typically gathered through surveys, capture whether consumers expect economic conditions to improve or deteriorate. High consumer confidence correlates with greater willingness to make discretionary purchases, including ballet tickets. The </w:t>
      </w:r>
      <w:proofErr w:type="spellStart"/>
      <w:r>
        <w:t>consumer_confidence_prairies</w:t>
      </w:r>
      <w:proofErr w:type="spellEnd"/>
      <w:r>
        <w:t xml:space="preserve"> variable specifically captures sentiment in the Prairie provinces, accounting for regional economic variations.</w:t>
      </w:r>
    </w:p>
    <w:p w14:paraId="306515A6" w14:textId="77777777" w:rsidR="00B45D7C" w:rsidRDefault="00000000">
      <w:pPr>
        <w:pStyle w:val="Heading2"/>
      </w:pPr>
      <w:r>
        <w:t>3.5 Online Buzz and Engagement Signals</w:t>
      </w:r>
    </w:p>
    <w:p w14:paraId="30FC5D8B" w14:textId="77777777" w:rsidR="00B45D7C" w:rsidRDefault="00000000">
      <w:pPr>
        <w:spacing w:after="200" w:line="276" w:lineRule="auto"/>
      </w:pPr>
      <w:r>
        <w:t>Buzz features quantify public interest and awareness through online engagement metrics. These features are particularly valuable for titles where historical performance data is limited or unavailable. The general formula for buzz features normalises platform-specific metrics to a 0-1 scale by dividing the platform search score by the maximum historical score. This normalisation allows buzz signals from different platforms with different absolute scales to be compared meaningfully. A Wikipedia page receiving 10,000 views might represent high interest for a ballet production, whilst a pop music artist might routinely receive millions of views. By normalising to historical maximums within the ballet domain, the features capture relative interest.</w:t>
      </w:r>
    </w:p>
    <w:p w14:paraId="5C9D67F9" w14:textId="77777777" w:rsidR="00B45D7C" w:rsidRDefault="00000000">
      <w:pPr>
        <w:spacing w:after="200" w:line="276" w:lineRule="auto"/>
      </w:pPr>
      <w:r>
        <w:t>The wiki feature aggregates Wikipedia page view counts over a window preceding the production's opening date. Higher page views suggest greater public interest and awareness. The temporal window, typically 30 to 90 days before opening, captures interest that might translate into ticket purchases. Google Trends data, captured in the trends feature, measures search interest over time. Google provides normalised search interest indices scaled from 0 to 100 for any given query, where 100 represents peak search interest during the query period.</w:t>
      </w:r>
    </w:p>
    <w:p w14:paraId="1DAAAA6E" w14:textId="77777777" w:rsidR="00B45D7C" w:rsidRDefault="00000000">
      <w:pPr>
        <w:spacing w:after="200" w:line="276" w:lineRule="auto"/>
      </w:pPr>
      <w:r>
        <w:t xml:space="preserve">Spotify streaming data, when available, indicates current engagement with music associated with a production. For ballets set to well-known musical scores, streaming activity might correlate with general interest. YouTube engagement metrics, including view counts, likes, and comment activity on videos related to a production, provide another engagement signal. These buzz features are typically log-transformed and </w:t>
      </w:r>
      <w:proofErr w:type="spellStart"/>
      <w:r>
        <w:t>winsorised</w:t>
      </w:r>
      <w:proofErr w:type="spellEnd"/>
      <w:r>
        <w:t xml:space="preserve"> during preprocessing to handle the long-tailed distribution of online engagement.</w:t>
      </w:r>
    </w:p>
    <w:p w14:paraId="3758F1D0" w14:textId="77777777" w:rsidR="00B45D7C" w:rsidRDefault="00000000">
      <w:r>
        <w:br w:type="page"/>
      </w:r>
    </w:p>
    <w:p w14:paraId="6A4186B6" w14:textId="77777777" w:rsidR="00B45D7C" w:rsidRDefault="00000000">
      <w:pPr>
        <w:pStyle w:val="Heading1"/>
      </w:pPr>
      <w:r>
        <w:lastRenderedPageBreak/>
        <w:t>4. Modelling Methodology</w:t>
      </w:r>
    </w:p>
    <w:p w14:paraId="6ED9DF43" w14:textId="77777777" w:rsidR="00B45D7C" w:rsidRDefault="00000000">
      <w:pPr>
        <w:spacing w:after="200" w:line="276" w:lineRule="auto"/>
      </w:pPr>
      <w:r>
        <w:t>The modelling methodology section details how the Alberta Ballet Title Scoring App transforms engineered features into actionable forecasts. The approach combines rigorous machine learning practices with domain-specific adaptations to ensure both statistical validity and operational relevance.</w:t>
      </w:r>
    </w:p>
    <w:p w14:paraId="375703CD" w14:textId="77777777" w:rsidR="00B45D7C" w:rsidRDefault="00000000">
      <w:pPr>
        <w:pStyle w:val="Heading2"/>
      </w:pPr>
      <w:r>
        <w:t>4.1 Problem Formulation and Target Variable</w:t>
      </w:r>
    </w:p>
    <w:p w14:paraId="2039B00F" w14:textId="77777777" w:rsidR="00B45D7C" w:rsidRDefault="00000000">
      <w:pPr>
        <w:spacing w:after="200" w:line="276" w:lineRule="auto"/>
      </w:pPr>
      <w:r>
        <w:t xml:space="preserve">The fundamental task is to predict expected median ticket sales for a proposed or returning ballet production, given information available before the production opens. Formally, we seek to learn a function </w:t>
      </w:r>
      <w:proofErr w:type="spellStart"/>
      <w:r>
        <w:t>f</w:t>
      </w:r>
      <w:proofErr w:type="spellEnd"/>
      <w:r>
        <w:t xml:space="preserve"> that maps feature vectors x to predicted outcomes ŷ. The target variable is median ticket sales per run, computed from historical box office records. Using the median rather than mean or total tickets provides robustness to outliers whilst capturing typical performance.</w:t>
      </w:r>
    </w:p>
    <w:p w14:paraId="6023E818" w14:textId="77777777" w:rsidR="00B45D7C" w:rsidRDefault="00000000">
      <w:pPr>
        <w:spacing w:after="200" w:line="276" w:lineRule="auto"/>
      </w:pPr>
      <w:r>
        <w:t xml:space="preserve">The raw target variable exhibits substantial skew, with most productions selling hundreds to low thousands of tickets but occasional outliers selling tens of thousands. This skew poses challenges for regression models, which assume approximately normal residual distributions. To address this, we apply a log transformation: y = </w:t>
      </w:r>
      <w:proofErr w:type="gramStart"/>
      <w:r>
        <w:t>log(</w:t>
      </w:r>
      <w:proofErr w:type="gramEnd"/>
      <w:r>
        <w:t xml:space="preserve">1 + </w:t>
      </w:r>
      <w:proofErr w:type="spellStart"/>
      <w:r>
        <w:t>median_tickets</w:t>
      </w:r>
      <w:proofErr w:type="spellEnd"/>
      <w:r>
        <w:t>). Adding one before taking the logarithm handles zero values, which occasionally occur for unsuccessful productions or data collection gaps. The log transformation compresses the scale, converting multiplicative relationships into additive ones.</w:t>
      </w:r>
    </w:p>
    <w:p w14:paraId="5C8BC6D8" w14:textId="77777777" w:rsidR="00B45D7C" w:rsidRDefault="00000000">
      <w:pPr>
        <w:spacing w:after="200" w:line="276" w:lineRule="auto"/>
      </w:pPr>
      <w:r>
        <w:t xml:space="preserve">After generating predictions in log space, we apply the inverse transformation to obtain interpretable ticket counts: </w:t>
      </w:r>
      <w:proofErr w:type="spellStart"/>
      <w:r>
        <w:t>ŷ_tickets</w:t>
      </w:r>
      <w:proofErr w:type="spellEnd"/>
      <w:r>
        <w:t xml:space="preserve"> = exp(ŷ) - 1. This transformation strategy is standard in demand forecasting and count data regression, where the natural variation in outcomes scales with the level rather than remaining constant.</w:t>
      </w:r>
    </w:p>
    <w:p w14:paraId="79583C69" w14:textId="77777777" w:rsidR="00B45D7C" w:rsidRDefault="00000000">
      <w:pPr>
        <w:pStyle w:val="Heading2"/>
      </w:pPr>
      <w:r>
        <w:t xml:space="preserve">4.2 Algorithm Selection: </w:t>
      </w:r>
      <w:proofErr w:type="spellStart"/>
      <w:r>
        <w:t>XGBoost</w:t>
      </w:r>
      <w:proofErr w:type="spellEnd"/>
      <w:r>
        <w:t xml:space="preserve"> Regression</w:t>
      </w:r>
    </w:p>
    <w:p w14:paraId="49127038" w14:textId="77777777" w:rsidR="00B45D7C" w:rsidRDefault="00000000">
      <w:pPr>
        <w:spacing w:after="200" w:line="276" w:lineRule="auto"/>
      </w:pPr>
      <w:r>
        <w:t xml:space="preserve">The core predictive model uses </w:t>
      </w:r>
      <w:proofErr w:type="spellStart"/>
      <w:r>
        <w:t>XGBoost</w:t>
      </w:r>
      <w:proofErr w:type="spellEnd"/>
      <w:r>
        <w:t xml:space="preserve"> (</w:t>
      </w:r>
      <w:proofErr w:type="spellStart"/>
      <w:r>
        <w:t>eXtreme</w:t>
      </w:r>
      <w:proofErr w:type="spellEnd"/>
      <w:r>
        <w:t xml:space="preserve"> Gradient Boosting), specifically the </w:t>
      </w:r>
      <w:proofErr w:type="spellStart"/>
      <w:r>
        <w:t>XGBRegressor</w:t>
      </w:r>
      <w:proofErr w:type="spellEnd"/>
      <w:r>
        <w:t xml:space="preserve"> implementation. </w:t>
      </w:r>
      <w:proofErr w:type="spellStart"/>
      <w:r>
        <w:t>XGBoost</w:t>
      </w:r>
      <w:proofErr w:type="spellEnd"/>
      <w:r>
        <w:t xml:space="preserve"> builds an ensemble of decision trees sequentially, where each new tree attempts to correct the errors made by the existing ensemble. This gradient boosting approach has proven highly effective for structured tabular data across diverse domains, from credit scoring to demand forecasting.</w:t>
      </w:r>
    </w:p>
    <w:p w14:paraId="6367F9B8" w14:textId="77777777" w:rsidR="00B45D7C" w:rsidRDefault="00000000">
      <w:pPr>
        <w:spacing w:after="200" w:line="276" w:lineRule="auto"/>
      </w:pPr>
      <w:r>
        <w:t xml:space="preserve">The algorithm optimises a regularised objective function that balances prediction accuracy against model complexity. The objective function L at iteration t sums over all training examples </w:t>
      </w:r>
      <w:proofErr w:type="spellStart"/>
      <w:r>
        <w:t>i</w:t>
      </w:r>
      <w:proofErr w:type="spellEnd"/>
      <w:r>
        <w:t xml:space="preserve"> from 1 </w:t>
      </w:r>
      <w:proofErr w:type="spellStart"/>
      <w:r>
        <w:t>to n</w:t>
      </w:r>
      <w:proofErr w:type="spellEnd"/>
      <w:r>
        <w:t>, computing the loss l between the true target value yᵢ and the prediction from the ensemble up to tree t-1 plus the new tree fₜ, and adds a regularisation term Ω that penalises model complexity.</w:t>
      </w:r>
    </w:p>
    <w:p w14:paraId="26E3FED5" w14:textId="77777777" w:rsidR="00B45D7C" w:rsidRDefault="00000000">
      <w:pPr>
        <w:spacing w:after="200" w:line="276" w:lineRule="auto"/>
      </w:pPr>
      <w:r>
        <w:t xml:space="preserve">The regularisation term Ω equals </w:t>
      </w:r>
      <w:proofErr w:type="spellStart"/>
      <w:r>
        <w:t>γT</w:t>
      </w:r>
      <w:proofErr w:type="spellEnd"/>
      <w:r>
        <w:t xml:space="preserve"> plus half of λ times the sum of squared leaf weights wⱼ, where T is the number of leaves in tree fₜ, wⱼ represents leaf weights, γ controls the penalty for the number of leaves, and λ controls the L2 regularisation strength on leaf weights. This </w:t>
      </w:r>
      <w:r>
        <w:lastRenderedPageBreak/>
        <w:t xml:space="preserve">regularisation prevents overfitting by discouraging overly complex trees that memorise training data rather than learning </w:t>
      </w:r>
      <w:proofErr w:type="spellStart"/>
      <w:r>
        <w:t>generalisable</w:t>
      </w:r>
      <w:proofErr w:type="spellEnd"/>
      <w:r>
        <w:t xml:space="preserve"> patterns.</w:t>
      </w:r>
    </w:p>
    <w:p w14:paraId="13B3F5F1" w14:textId="77777777" w:rsidR="00B45D7C" w:rsidRDefault="00000000">
      <w:pPr>
        <w:pStyle w:val="Heading2"/>
      </w:pPr>
      <w:r>
        <w:t>4.3 Hyperparameter Configuration</w:t>
      </w:r>
    </w:p>
    <w:p w14:paraId="79EED9BE" w14:textId="77777777" w:rsidR="00B45D7C" w:rsidRDefault="00000000">
      <w:pPr>
        <w:spacing w:after="200" w:line="276" w:lineRule="auto"/>
      </w:pPr>
      <w:r>
        <w:t xml:space="preserve">The </w:t>
      </w:r>
      <w:proofErr w:type="spellStart"/>
      <w:r>
        <w:t>XGBoost</w:t>
      </w:r>
      <w:proofErr w:type="spellEnd"/>
      <w:r>
        <w:t xml:space="preserve"> model exposes numerous hyperparameters that control its behaviour and capacity. The system implements both default configurations and tuned configurations selectable via command-line flags. The number of estimators, representing the total number of trees in the ensemble, typically ranges from 100 to 500 depending on data size and complexity. More trees allow the model to learn more complex patterns but increase training time and overfitting risk if not properly regularised.</w:t>
      </w:r>
    </w:p>
    <w:p w14:paraId="5B243AE5" w14:textId="77777777" w:rsidR="00B45D7C" w:rsidRDefault="00000000">
      <w:pPr>
        <w:spacing w:after="200" w:line="276" w:lineRule="auto"/>
      </w:pPr>
      <w:r>
        <w:t>The learning rate, typically between 0.01 and 0.3, controls how much each tree contributes to the ensemble. Lower learning rates require more trees to achieve the same representational capacity but often produce better generalisation. The system default of 0.05 balances training efficiency with predictive accuracy. Maximum tree depth, usually set between 3 and 7, controls how many sequential splits each tree can make. Deeper trees can capture more complex interactions but risk overfitting to training data.</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358"/>
        <w:gridCol w:w="1357"/>
        <w:gridCol w:w="4151"/>
      </w:tblGrid>
      <w:tr w:rsidR="00B45D7C" w14:paraId="5C686235" w14:textId="77777777">
        <w:tblPrEx>
          <w:tblCellMar>
            <w:top w:w="0" w:type="dxa"/>
            <w:bottom w:w="0" w:type="dxa"/>
          </w:tblCellMar>
        </w:tblPrEx>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E8E8E8"/>
          </w:tcPr>
          <w:p w14:paraId="17F43A30" w14:textId="77777777" w:rsidR="00B45D7C" w:rsidRDefault="00000000">
            <w:pPr>
              <w:jc w:val="center"/>
            </w:pPr>
            <w:r>
              <w:rPr>
                <w:rFonts w:ascii="Arial" w:eastAsia="Arial" w:hAnsi="Arial" w:cs="Arial"/>
                <w:b/>
                <w:bCs/>
                <w:sz w:val="22"/>
                <w:szCs w:val="22"/>
              </w:rPr>
              <w:t>Parameter</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0F68F27F" w14:textId="77777777" w:rsidR="00B45D7C" w:rsidRDefault="00000000">
            <w:pPr>
              <w:jc w:val="center"/>
            </w:pPr>
            <w:r>
              <w:rPr>
                <w:rFonts w:ascii="Arial" w:eastAsia="Arial" w:hAnsi="Arial" w:cs="Arial"/>
                <w:b/>
                <w:bCs/>
                <w:sz w:val="22"/>
                <w:szCs w:val="22"/>
              </w:rPr>
              <w:t>Default</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482BA84F" w14:textId="77777777" w:rsidR="00B45D7C" w:rsidRDefault="00000000">
            <w:pPr>
              <w:jc w:val="center"/>
            </w:pPr>
            <w:r>
              <w:rPr>
                <w:rFonts w:ascii="Arial" w:eastAsia="Arial" w:hAnsi="Arial" w:cs="Arial"/>
                <w:b/>
                <w:bCs/>
                <w:sz w:val="22"/>
                <w:szCs w:val="22"/>
              </w:rPr>
              <w:t>Tuning Range</w:t>
            </w:r>
          </w:p>
        </w:tc>
        <w:tc>
          <w:tcPr>
            <w:tcW w:w="4360" w:type="dxa"/>
            <w:tcBorders>
              <w:top w:val="single" w:sz="1" w:space="0" w:color="999999"/>
              <w:left w:val="single" w:sz="1" w:space="0" w:color="999999"/>
              <w:bottom w:val="single" w:sz="1" w:space="0" w:color="999999"/>
              <w:right w:val="single" w:sz="1" w:space="0" w:color="999999"/>
            </w:tcBorders>
            <w:shd w:val="clear" w:color="auto" w:fill="E8E8E8"/>
          </w:tcPr>
          <w:p w14:paraId="4DE4C50D" w14:textId="77777777" w:rsidR="00B45D7C" w:rsidRDefault="00000000">
            <w:pPr>
              <w:jc w:val="center"/>
            </w:pPr>
            <w:r>
              <w:rPr>
                <w:rFonts w:ascii="Arial" w:eastAsia="Arial" w:hAnsi="Arial" w:cs="Arial"/>
                <w:b/>
                <w:bCs/>
                <w:sz w:val="22"/>
                <w:szCs w:val="22"/>
              </w:rPr>
              <w:t>Purpose</w:t>
            </w:r>
          </w:p>
        </w:tc>
      </w:tr>
      <w:tr w:rsidR="00B45D7C" w14:paraId="3F548784"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2B8C66F8" w14:textId="77777777" w:rsidR="00B45D7C" w:rsidRDefault="00000000">
            <w:proofErr w:type="spellStart"/>
            <w:r>
              <w:rPr>
                <w:sz w:val="22"/>
                <w:szCs w:val="22"/>
              </w:rPr>
              <w:t>n_estimators</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4456F828" w14:textId="77777777" w:rsidR="00B45D7C" w:rsidRDefault="00000000">
            <w:r>
              <w:rPr>
                <w:sz w:val="22"/>
                <w:szCs w:val="22"/>
              </w:rPr>
              <w:t>200</w:t>
            </w:r>
          </w:p>
        </w:tc>
        <w:tc>
          <w:tcPr>
            <w:tcW w:w="1400" w:type="dxa"/>
            <w:tcBorders>
              <w:top w:val="single" w:sz="1" w:space="0" w:color="999999"/>
              <w:left w:val="single" w:sz="1" w:space="0" w:color="999999"/>
              <w:bottom w:val="single" w:sz="1" w:space="0" w:color="999999"/>
              <w:right w:val="single" w:sz="1" w:space="0" w:color="999999"/>
            </w:tcBorders>
          </w:tcPr>
          <w:p w14:paraId="577AFBFC" w14:textId="77777777" w:rsidR="00B45D7C" w:rsidRDefault="00000000">
            <w:r>
              <w:rPr>
                <w:sz w:val="22"/>
                <w:szCs w:val="22"/>
              </w:rPr>
              <w:t>100-500</w:t>
            </w:r>
          </w:p>
        </w:tc>
        <w:tc>
          <w:tcPr>
            <w:tcW w:w="4360" w:type="dxa"/>
            <w:tcBorders>
              <w:top w:val="single" w:sz="1" w:space="0" w:color="999999"/>
              <w:left w:val="single" w:sz="1" w:space="0" w:color="999999"/>
              <w:bottom w:val="single" w:sz="1" w:space="0" w:color="999999"/>
              <w:right w:val="single" w:sz="1" w:space="0" w:color="999999"/>
            </w:tcBorders>
          </w:tcPr>
          <w:p w14:paraId="2421CA24" w14:textId="77777777" w:rsidR="00B45D7C" w:rsidRDefault="00000000">
            <w:r>
              <w:rPr>
                <w:sz w:val="22"/>
                <w:szCs w:val="22"/>
              </w:rPr>
              <w:t>Number of boosting rounds (trees)</w:t>
            </w:r>
          </w:p>
        </w:tc>
      </w:tr>
      <w:tr w:rsidR="00B45D7C" w14:paraId="5030E94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28DFB4E3" w14:textId="77777777" w:rsidR="00B45D7C" w:rsidRDefault="00000000">
            <w:proofErr w:type="spellStart"/>
            <w:r>
              <w:rPr>
                <w:sz w:val="22"/>
                <w:szCs w:val="22"/>
              </w:rPr>
              <w:t>learning_rate</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292B2B74" w14:textId="77777777" w:rsidR="00B45D7C" w:rsidRDefault="00000000">
            <w:r>
              <w:rPr>
                <w:sz w:val="22"/>
                <w:szCs w:val="22"/>
              </w:rPr>
              <w:t>0.05</w:t>
            </w:r>
          </w:p>
        </w:tc>
        <w:tc>
          <w:tcPr>
            <w:tcW w:w="1400" w:type="dxa"/>
            <w:tcBorders>
              <w:top w:val="single" w:sz="1" w:space="0" w:color="999999"/>
              <w:left w:val="single" w:sz="1" w:space="0" w:color="999999"/>
              <w:bottom w:val="single" w:sz="1" w:space="0" w:color="999999"/>
              <w:right w:val="single" w:sz="1" w:space="0" w:color="999999"/>
            </w:tcBorders>
          </w:tcPr>
          <w:p w14:paraId="782EC373" w14:textId="77777777" w:rsidR="00B45D7C" w:rsidRDefault="00000000">
            <w:r>
              <w:rPr>
                <w:sz w:val="22"/>
                <w:szCs w:val="22"/>
              </w:rPr>
              <w:t>0.01-0.3</w:t>
            </w:r>
          </w:p>
        </w:tc>
        <w:tc>
          <w:tcPr>
            <w:tcW w:w="4360" w:type="dxa"/>
            <w:tcBorders>
              <w:top w:val="single" w:sz="1" w:space="0" w:color="999999"/>
              <w:left w:val="single" w:sz="1" w:space="0" w:color="999999"/>
              <w:bottom w:val="single" w:sz="1" w:space="0" w:color="999999"/>
              <w:right w:val="single" w:sz="1" w:space="0" w:color="999999"/>
            </w:tcBorders>
          </w:tcPr>
          <w:p w14:paraId="350D0977" w14:textId="77777777" w:rsidR="00B45D7C" w:rsidRDefault="00000000">
            <w:r>
              <w:rPr>
                <w:sz w:val="22"/>
                <w:szCs w:val="22"/>
              </w:rPr>
              <w:t>Step size shrinkage to prevent overfitting</w:t>
            </w:r>
          </w:p>
        </w:tc>
      </w:tr>
      <w:tr w:rsidR="00B45D7C" w14:paraId="38E7E90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7F723AD5" w14:textId="77777777" w:rsidR="00B45D7C" w:rsidRDefault="00000000">
            <w:proofErr w:type="spellStart"/>
            <w:r>
              <w:rPr>
                <w:sz w:val="22"/>
                <w:szCs w:val="22"/>
              </w:rPr>
              <w:t>max_depth</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5C47E8C0" w14:textId="77777777" w:rsidR="00B45D7C" w:rsidRDefault="00000000">
            <w:r>
              <w:rPr>
                <w:sz w:val="22"/>
                <w:szCs w:val="22"/>
              </w:rPr>
              <w:t>6</w:t>
            </w:r>
          </w:p>
        </w:tc>
        <w:tc>
          <w:tcPr>
            <w:tcW w:w="1400" w:type="dxa"/>
            <w:tcBorders>
              <w:top w:val="single" w:sz="1" w:space="0" w:color="999999"/>
              <w:left w:val="single" w:sz="1" w:space="0" w:color="999999"/>
              <w:bottom w:val="single" w:sz="1" w:space="0" w:color="999999"/>
              <w:right w:val="single" w:sz="1" w:space="0" w:color="999999"/>
            </w:tcBorders>
          </w:tcPr>
          <w:p w14:paraId="4DB8F2D4" w14:textId="77777777" w:rsidR="00B45D7C" w:rsidRDefault="00000000">
            <w:r>
              <w:rPr>
                <w:sz w:val="22"/>
                <w:szCs w:val="22"/>
              </w:rPr>
              <w:t>3-10</w:t>
            </w:r>
          </w:p>
        </w:tc>
        <w:tc>
          <w:tcPr>
            <w:tcW w:w="4360" w:type="dxa"/>
            <w:tcBorders>
              <w:top w:val="single" w:sz="1" w:space="0" w:color="999999"/>
              <w:left w:val="single" w:sz="1" w:space="0" w:color="999999"/>
              <w:bottom w:val="single" w:sz="1" w:space="0" w:color="999999"/>
              <w:right w:val="single" w:sz="1" w:space="0" w:color="999999"/>
            </w:tcBorders>
          </w:tcPr>
          <w:p w14:paraId="4B488A21" w14:textId="77777777" w:rsidR="00B45D7C" w:rsidRDefault="00000000">
            <w:r>
              <w:rPr>
                <w:sz w:val="22"/>
                <w:szCs w:val="22"/>
              </w:rPr>
              <w:t>Maximum tree depth</w:t>
            </w:r>
          </w:p>
        </w:tc>
      </w:tr>
      <w:tr w:rsidR="00B45D7C" w14:paraId="3F42184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33E3B7F7" w14:textId="77777777" w:rsidR="00B45D7C" w:rsidRDefault="00000000">
            <w:r>
              <w:rPr>
                <w:sz w:val="22"/>
                <w:szCs w:val="22"/>
              </w:rPr>
              <w:t>subsample</w:t>
            </w:r>
          </w:p>
        </w:tc>
        <w:tc>
          <w:tcPr>
            <w:tcW w:w="1400" w:type="dxa"/>
            <w:tcBorders>
              <w:top w:val="single" w:sz="1" w:space="0" w:color="999999"/>
              <w:left w:val="single" w:sz="1" w:space="0" w:color="999999"/>
              <w:bottom w:val="single" w:sz="1" w:space="0" w:color="999999"/>
              <w:right w:val="single" w:sz="1" w:space="0" w:color="999999"/>
            </w:tcBorders>
          </w:tcPr>
          <w:p w14:paraId="42155353" w14:textId="77777777" w:rsidR="00B45D7C" w:rsidRDefault="00000000">
            <w:r>
              <w:rPr>
                <w:sz w:val="22"/>
                <w:szCs w:val="22"/>
              </w:rPr>
              <w:t>0.8</w:t>
            </w:r>
          </w:p>
        </w:tc>
        <w:tc>
          <w:tcPr>
            <w:tcW w:w="1400" w:type="dxa"/>
            <w:tcBorders>
              <w:top w:val="single" w:sz="1" w:space="0" w:color="999999"/>
              <w:left w:val="single" w:sz="1" w:space="0" w:color="999999"/>
              <w:bottom w:val="single" w:sz="1" w:space="0" w:color="999999"/>
              <w:right w:val="single" w:sz="1" w:space="0" w:color="999999"/>
            </w:tcBorders>
          </w:tcPr>
          <w:p w14:paraId="472A73C3" w14:textId="77777777" w:rsidR="00B45D7C" w:rsidRDefault="00000000">
            <w:r>
              <w:rPr>
                <w:sz w:val="22"/>
                <w:szCs w:val="22"/>
              </w:rPr>
              <w:t>0.5-1.0</w:t>
            </w:r>
          </w:p>
        </w:tc>
        <w:tc>
          <w:tcPr>
            <w:tcW w:w="4360" w:type="dxa"/>
            <w:tcBorders>
              <w:top w:val="single" w:sz="1" w:space="0" w:color="999999"/>
              <w:left w:val="single" w:sz="1" w:space="0" w:color="999999"/>
              <w:bottom w:val="single" w:sz="1" w:space="0" w:color="999999"/>
              <w:right w:val="single" w:sz="1" w:space="0" w:color="999999"/>
            </w:tcBorders>
          </w:tcPr>
          <w:p w14:paraId="42A7ED29" w14:textId="77777777" w:rsidR="00B45D7C" w:rsidRDefault="00000000">
            <w:r>
              <w:rPr>
                <w:sz w:val="22"/>
                <w:szCs w:val="22"/>
              </w:rPr>
              <w:t>Fraction of samples used per tree</w:t>
            </w:r>
          </w:p>
        </w:tc>
      </w:tr>
      <w:tr w:rsidR="00B45D7C" w14:paraId="4F8DD26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65A97810" w14:textId="77777777" w:rsidR="00B45D7C" w:rsidRDefault="00000000">
            <w:proofErr w:type="spellStart"/>
            <w:r>
              <w:rPr>
                <w:sz w:val="22"/>
                <w:szCs w:val="22"/>
              </w:rPr>
              <w:t>colsample_bytree</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316FE0B8" w14:textId="77777777" w:rsidR="00B45D7C" w:rsidRDefault="00000000">
            <w:r>
              <w:rPr>
                <w:sz w:val="22"/>
                <w:szCs w:val="22"/>
              </w:rPr>
              <w:t>0.9</w:t>
            </w:r>
          </w:p>
        </w:tc>
        <w:tc>
          <w:tcPr>
            <w:tcW w:w="1400" w:type="dxa"/>
            <w:tcBorders>
              <w:top w:val="single" w:sz="1" w:space="0" w:color="999999"/>
              <w:left w:val="single" w:sz="1" w:space="0" w:color="999999"/>
              <w:bottom w:val="single" w:sz="1" w:space="0" w:color="999999"/>
              <w:right w:val="single" w:sz="1" w:space="0" w:color="999999"/>
            </w:tcBorders>
          </w:tcPr>
          <w:p w14:paraId="2C0CC3B1" w14:textId="77777777" w:rsidR="00B45D7C" w:rsidRDefault="00000000">
            <w:r>
              <w:rPr>
                <w:sz w:val="22"/>
                <w:szCs w:val="22"/>
              </w:rPr>
              <w:t>0.5-1.0</w:t>
            </w:r>
          </w:p>
        </w:tc>
        <w:tc>
          <w:tcPr>
            <w:tcW w:w="4360" w:type="dxa"/>
            <w:tcBorders>
              <w:top w:val="single" w:sz="1" w:space="0" w:color="999999"/>
              <w:left w:val="single" w:sz="1" w:space="0" w:color="999999"/>
              <w:bottom w:val="single" w:sz="1" w:space="0" w:color="999999"/>
              <w:right w:val="single" w:sz="1" w:space="0" w:color="999999"/>
            </w:tcBorders>
          </w:tcPr>
          <w:p w14:paraId="00BC36C5" w14:textId="77777777" w:rsidR="00B45D7C" w:rsidRDefault="00000000">
            <w:r>
              <w:rPr>
                <w:sz w:val="22"/>
                <w:szCs w:val="22"/>
              </w:rPr>
              <w:t>Fraction of features used per tree</w:t>
            </w:r>
          </w:p>
        </w:tc>
      </w:tr>
      <w:tr w:rsidR="00B45D7C" w14:paraId="11ECB8E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0ECD5AB1" w14:textId="77777777" w:rsidR="00B45D7C" w:rsidRDefault="00000000">
            <w:proofErr w:type="spellStart"/>
            <w:r>
              <w:rPr>
                <w:sz w:val="22"/>
                <w:szCs w:val="22"/>
              </w:rPr>
              <w:t>reg_alpha</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771CE9C0" w14:textId="77777777" w:rsidR="00B45D7C" w:rsidRDefault="00000000">
            <w:r>
              <w:rPr>
                <w:sz w:val="22"/>
                <w:szCs w:val="22"/>
              </w:rPr>
              <w:t>0.1</w:t>
            </w:r>
          </w:p>
        </w:tc>
        <w:tc>
          <w:tcPr>
            <w:tcW w:w="1400" w:type="dxa"/>
            <w:tcBorders>
              <w:top w:val="single" w:sz="1" w:space="0" w:color="999999"/>
              <w:left w:val="single" w:sz="1" w:space="0" w:color="999999"/>
              <w:bottom w:val="single" w:sz="1" w:space="0" w:color="999999"/>
              <w:right w:val="single" w:sz="1" w:space="0" w:color="999999"/>
            </w:tcBorders>
          </w:tcPr>
          <w:p w14:paraId="2B406675" w14:textId="77777777" w:rsidR="00B45D7C" w:rsidRDefault="00000000">
            <w:r>
              <w:rPr>
                <w:sz w:val="22"/>
                <w:szCs w:val="22"/>
              </w:rPr>
              <w:t>0.0-1.0</w:t>
            </w:r>
          </w:p>
        </w:tc>
        <w:tc>
          <w:tcPr>
            <w:tcW w:w="4360" w:type="dxa"/>
            <w:tcBorders>
              <w:top w:val="single" w:sz="1" w:space="0" w:color="999999"/>
              <w:left w:val="single" w:sz="1" w:space="0" w:color="999999"/>
              <w:bottom w:val="single" w:sz="1" w:space="0" w:color="999999"/>
              <w:right w:val="single" w:sz="1" w:space="0" w:color="999999"/>
            </w:tcBorders>
          </w:tcPr>
          <w:p w14:paraId="60A76C25" w14:textId="77777777" w:rsidR="00B45D7C" w:rsidRDefault="00000000">
            <w:r>
              <w:rPr>
                <w:sz w:val="22"/>
                <w:szCs w:val="22"/>
              </w:rPr>
              <w:t>L1 regularisation</w:t>
            </w:r>
          </w:p>
        </w:tc>
      </w:tr>
      <w:tr w:rsidR="00B45D7C" w14:paraId="38A2783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tcPr>
          <w:p w14:paraId="417D9017" w14:textId="77777777" w:rsidR="00B45D7C" w:rsidRDefault="00000000">
            <w:proofErr w:type="spellStart"/>
            <w:r>
              <w:rPr>
                <w:sz w:val="22"/>
                <w:szCs w:val="22"/>
              </w:rPr>
              <w:t>reg_lambda</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090DA1F8" w14:textId="77777777" w:rsidR="00B45D7C" w:rsidRDefault="00000000">
            <w:r>
              <w:rPr>
                <w:sz w:val="22"/>
                <w:szCs w:val="22"/>
              </w:rPr>
              <w:t>1.0</w:t>
            </w:r>
          </w:p>
        </w:tc>
        <w:tc>
          <w:tcPr>
            <w:tcW w:w="1400" w:type="dxa"/>
            <w:tcBorders>
              <w:top w:val="single" w:sz="1" w:space="0" w:color="999999"/>
              <w:left w:val="single" w:sz="1" w:space="0" w:color="999999"/>
              <w:bottom w:val="single" w:sz="1" w:space="0" w:color="999999"/>
              <w:right w:val="single" w:sz="1" w:space="0" w:color="999999"/>
            </w:tcBorders>
          </w:tcPr>
          <w:p w14:paraId="6B0B51E0" w14:textId="77777777" w:rsidR="00B45D7C" w:rsidRDefault="00000000">
            <w:r>
              <w:rPr>
                <w:sz w:val="22"/>
                <w:szCs w:val="22"/>
              </w:rPr>
              <w:t>0.0-10.0</w:t>
            </w:r>
          </w:p>
        </w:tc>
        <w:tc>
          <w:tcPr>
            <w:tcW w:w="4360" w:type="dxa"/>
            <w:tcBorders>
              <w:top w:val="single" w:sz="1" w:space="0" w:color="999999"/>
              <w:left w:val="single" w:sz="1" w:space="0" w:color="999999"/>
              <w:bottom w:val="single" w:sz="1" w:space="0" w:color="999999"/>
              <w:right w:val="single" w:sz="1" w:space="0" w:color="999999"/>
            </w:tcBorders>
          </w:tcPr>
          <w:p w14:paraId="2C50F3B7" w14:textId="77777777" w:rsidR="00B45D7C" w:rsidRDefault="00000000">
            <w:r>
              <w:rPr>
                <w:sz w:val="22"/>
                <w:szCs w:val="22"/>
              </w:rPr>
              <w:t>L2 regularisation</w:t>
            </w:r>
          </w:p>
        </w:tc>
      </w:tr>
    </w:tbl>
    <w:p w14:paraId="4BE9B8EE" w14:textId="77777777" w:rsidR="00B45D7C" w:rsidRDefault="00000000">
      <w:pPr>
        <w:spacing w:before="100" w:after="300"/>
        <w:jc w:val="center"/>
      </w:pPr>
      <w:r>
        <w:rPr>
          <w:rFonts w:ascii="Arial" w:eastAsia="Arial" w:hAnsi="Arial" w:cs="Arial"/>
          <w:i/>
          <w:iCs/>
          <w:sz w:val="22"/>
          <w:szCs w:val="22"/>
        </w:rPr>
        <w:t xml:space="preserve">Table 4: </w:t>
      </w:r>
      <w:proofErr w:type="spellStart"/>
      <w:r>
        <w:rPr>
          <w:rFonts w:ascii="Arial" w:eastAsia="Arial" w:hAnsi="Arial" w:cs="Arial"/>
          <w:i/>
          <w:iCs/>
          <w:sz w:val="22"/>
          <w:szCs w:val="22"/>
        </w:rPr>
        <w:t>XGBoost</w:t>
      </w:r>
      <w:proofErr w:type="spellEnd"/>
      <w:r>
        <w:rPr>
          <w:rFonts w:ascii="Arial" w:eastAsia="Arial" w:hAnsi="Arial" w:cs="Arial"/>
          <w:i/>
          <w:iCs/>
          <w:sz w:val="22"/>
          <w:szCs w:val="22"/>
        </w:rPr>
        <w:t xml:space="preserve"> Hyperparameter Defaults and Tuning Ranges</w:t>
      </w:r>
    </w:p>
    <w:p w14:paraId="60686717" w14:textId="77777777" w:rsidR="00B45D7C" w:rsidRDefault="00000000">
      <w:pPr>
        <w:pStyle w:val="Heading2"/>
      </w:pPr>
      <w:r>
        <w:t>4.4 Time-Aware Cross-Validation Strategy</w:t>
      </w:r>
    </w:p>
    <w:p w14:paraId="2047B506" w14:textId="77777777" w:rsidR="00B45D7C" w:rsidRDefault="00000000">
      <w:pPr>
        <w:spacing w:after="200" w:line="276" w:lineRule="auto"/>
      </w:pPr>
      <w:r>
        <w:t>Standard cross-validation randomly partitions data into training and validation folds, which is appropriate for many machine learning tasks. However, for time series forecasting and demand prediction, random splitting creates an unrealistic evaluation scenario. If validation data comes from past dates whilst training data includes future dates, the model learns from information that would not have been available when making real predictions. This temporal leakage artificially inflates apparent model performance whilst compromising actual forecasting ability.</w:t>
      </w:r>
    </w:p>
    <w:p w14:paraId="79F86E95" w14:textId="77777777" w:rsidR="00B45D7C" w:rsidRDefault="00000000">
      <w:pPr>
        <w:spacing w:after="200" w:line="276" w:lineRule="auto"/>
      </w:pPr>
      <w:r>
        <w:t xml:space="preserve">The Alberta Ballet system implements strictly chronological cross-validation through the </w:t>
      </w:r>
      <w:proofErr w:type="spellStart"/>
      <w:r>
        <w:t>TimeSeriesCVSplitter</w:t>
      </w:r>
      <w:proofErr w:type="spellEnd"/>
      <w:r>
        <w:t xml:space="preserve"> class in ml/time_splits.py. This splitter respects the temporal ordering of productions, ensuring that every validation production occurs after all training productions in its fold. The implementation requires specification of a date column, typically </w:t>
      </w:r>
      <w:proofErr w:type="spellStart"/>
      <w:r>
        <w:t>opening_date</w:t>
      </w:r>
      <w:proofErr w:type="spellEnd"/>
      <w:r>
        <w:t>, which defines the temporal ordering. If no date column is provided, the system raises an error rather than falling back to random splitting, preventing accidental temporal leakage.</w:t>
      </w:r>
    </w:p>
    <w:p w14:paraId="4AB74E4D" w14:textId="77777777" w:rsidR="00B45D7C" w:rsidRDefault="00000000">
      <w:pPr>
        <w:spacing w:after="200" w:line="276" w:lineRule="auto"/>
      </w:pPr>
      <w:r>
        <w:lastRenderedPageBreak/>
        <w:t>The five-fold configuration creates five sequential training-validation pairs. In Fold 1, the model trains on the earliest productions and validates on the next chronological period. In Fold 2, the training set expands to include the previous validation set, and a new later period becomes the validation set. This expanding window approach simulates increasingly long historical records whilst always testing on genuinely future data. By the fifth fold, the model trains on most historical data and validates on the most recent period, closely mimicking operational deployment conditions.</w:t>
      </w:r>
    </w:p>
    <w:p w14:paraId="7543C9B2" w14:textId="77777777" w:rsidR="00B45D7C" w:rsidRDefault="00000000">
      <w:pPr>
        <w:pStyle w:val="Heading2"/>
      </w:pPr>
      <w:r>
        <w:t>4.5 Feature Importance Analysis</w:t>
      </w:r>
    </w:p>
    <w:p w14:paraId="449D96D1" w14:textId="77777777" w:rsidR="00B45D7C" w:rsidRDefault="00000000">
      <w:pPr>
        <w:spacing w:after="200" w:line="276" w:lineRule="auto"/>
      </w:pPr>
      <w:r>
        <w:t xml:space="preserve">Understanding which features drive predictions is crucial for both model validation and operational insight. The system implements two complementary approaches to feature importance: model-based gain calculations and SHAP values. Model-based feature importance, computed directly from the </w:t>
      </w:r>
      <w:proofErr w:type="spellStart"/>
      <w:r>
        <w:t>XGBoost</w:t>
      </w:r>
      <w:proofErr w:type="spellEnd"/>
      <w:r>
        <w:t xml:space="preserve"> model structure, measures how much each feature contributes to reducing prediction error across all trees. Specifically, the gain metric sums the improvement in loss achieved by all splits on a given feature across all trees.</w:t>
      </w:r>
    </w:p>
    <w:p w14:paraId="6CAFB201" w14:textId="77777777" w:rsidR="00B45D7C" w:rsidRDefault="00000000">
      <w:pPr>
        <w:spacing w:after="200" w:line="276" w:lineRule="auto"/>
      </w:pPr>
      <w:r>
        <w:t xml:space="preserve">Features with high gain importance are those that, when used for splitting nodes, most effectively separate high-ticket productions from low-ticket productions. The </w:t>
      </w:r>
      <w:proofErr w:type="spellStart"/>
      <w:r>
        <w:t>prior_total_tickets</w:t>
      </w:r>
      <w:proofErr w:type="spellEnd"/>
      <w:r>
        <w:t xml:space="preserve"> feature typically shows the highest gain, reflecting its strong predictive power for remounts. When a tree splits on whether </w:t>
      </w:r>
      <w:proofErr w:type="spellStart"/>
      <w:r>
        <w:t>prior_total_tickets</w:t>
      </w:r>
      <w:proofErr w:type="spellEnd"/>
      <w:r>
        <w:t xml:space="preserve"> exceeds some threshold, the resulting child nodes contain productions with substantially different expected outcomes. This consistent pattern across many trees leads to high cumulative gain.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9"/>
        <w:gridCol w:w="3197"/>
        <w:gridCol w:w="1376"/>
        <w:gridCol w:w="3682"/>
      </w:tblGrid>
      <w:tr w:rsidR="00B45D7C" w14:paraId="3FD0CF2B" w14:textId="77777777">
        <w:tblPrEx>
          <w:tblCellMar>
            <w:top w:w="0" w:type="dxa"/>
            <w:bottom w:w="0" w:type="dxa"/>
          </w:tblCellMar>
        </w:tblPrEx>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E8E8E8"/>
          </w:tcPr>
          <w:p w14:paraId="2B4CC7A7" w14:textId="77777777" w:rsidR="00B45D7C" w:rsidRDefault="00000000">
            <w:pPr>
              <w:jc w:val="center"/>
            </w:pPr>
            <w:r>
              <w:rPr>
                <w:rFonts w:ascii="Arial" w:eastAsia="Arial" w:hAnsi="Arial" w:cs="Arial"/>
                <w:b/>
                <w:bCs/>
                <w:sz w:val="22"/>
                <w:szCs w:val="22"/>
              </w:rPr>
              <w:t>Rank</w:t>
            </w:r>
          </w:p>
        </w:tc>
        <w:tc>
          <w:tcPr>
            <w:tcW w:w="3200" w:type="dxa"/>
            <w:tcBorders>
              <w:top w:val="single" w:sz="1" w:space="0" w:color="999999"/>
              <w:left w:val="single" w:sz="1" w:space="0" w:color="999999"/>
              <w:bottom w:val="single" w:sz="1" w:space="0" w:color="999999"/>
              <w:right w:val="single" w:sz="1" w:space="0" w:color="999999"/>
            </w:tcBorders>
            <w:shd w:val="clear" w:color="auto" w:fill="E8E8E8"/>
          </w:tcPr>
          <w:p w14:paraId="3B940BBD" w14:textId="77777777" w:rsidR="00B45D7C" w:rsidRDefault="00000000">
            <w:pPr>
              <w:jc w:val="center"/>
            </w:pPr>
            <w:r>
              <w:rPr>
                <w:rFonts w:ascii="Arial" w:eastAsia="Arial" w:hAnsi="Arial" w:cs="Arial"/>
                <w:b/>
                <w:bCs/>
                <w:sz w:val="22"/>
                <w:szCs w:val="22"/>
              </w:rPr>
              <w:t>Feature</w:t>
            </w:r>
          </w:p>
        </w:tc>
        <w:tc>
          <w:tcPr>
            <w:tcW w:w="1400" w:type="dxa"/>
            <w:tcBorders>
              <w:top w:val="single" w:sz="1" w:space="0" w:color="999999"/>
              <w:left w:val="single" w:sz="1" w:space="0" w:color="999999"/>
              <w:bottom w:val="single" w:sz="1" w:space="0" w:color="999999"/>
              <w:right w:val="single" w:sz="1" w:space="0" w:color="999999"/>
            </w:tcBorders>
            <w:shd w:val="clear" w:color="auto" w:fill="E8E8E8"/>
          </w:tcPr>
          <w:p w14:paraId="399322BC" w14:textId="77777777" w:rsidR="00B45D7C" w:rsidRDefault="00000000">
            <w:pPr>
              <w:jc w:val="center"/>
            </w:pPr>
            <w:r>
              <w:rPr>
                <w:rFonts w:ascii="Arial" w:eastAsia="Arial" w:hAnsi="Arial" w:cs="Arial"/>
                <w:b/>
                <w:bCs/>
                <w:sz w:val="22"/>
                <w:szCs w:val="22"/>
              </w:rPr>
              <w:t>Importance</w:t>
            </w:r>
          </w:p>
        </w:tc>
        <w:tc>
          <w:tcPr>
            <w:tcW w:w="4000" w:type="dxa"/>
            <w:tcBorders>
              <w:top w:val="single" w:sz="1" w:space="0" w:color="999999"/>
              <w:left w:val="single" w:sz="1" w:space="0" w:color="999999"/>
              <w:bottom w:val="single" w:sz="1" w:space="0" w:color="999999"/>
              <w:right w:val="single" w:sz="1" w:space="0" w:color="999999"/>
            </w:tcBorders>
            <w:shd w:val="clear" w:color="auto" w:fill="E8E8E8"/>
          </w:tcPr>
          <w:p w14:paraId="5CA84E4D" w14:textId="77777777" w:rsidR="00B45D7C" w:rsidRDefault="00000000">
            <w:pPr>
              <w:jc w:val="center"/>
            </w:pPr>
            <w:r>
              <w:rPr>
                <w:rFonts w:ascii="Arial" w:eastAsia="Arial" w:hAnsi="Arial" w:cs="Arial"/>
                <w:b/>
                <w:bCs/>
                <w:sz w:val="22"/>
                <w:szCs w:val="22"/>
              </w:rPr>
              <w:t>Interpretation</w:t>
            </w:r>
          </w:p>
        </w:tc>
      </w:tr>
      <w:tr w:rsidR="00B45D7C" w14:paraId="6F45425D"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48A86D60" w14:textId="77777777" w:rsidR="00B45D7C" w:rsidRDefault="00000000">
            <w:r>
              <w:rPr>
                <w:sz w:val="22"/>
                <w:szCs w:val="22"/>
              </w:rPr>
              <w:t>1</w:t>
            </w:r>
          </w:p>
        </w:tc>
        <w:tc>
          <w:tcPr>
            <w:tcW w:w="3200" w:type="dxa"/>
            <w:tcBorders>
              <w:top w:val="single" w:sz="1" w:space="0" w:color="999999"/>
              <w:left w:val="single" w:sz="1" w:space="0" w:color="999999"/>
              <w:bottom w:val="single" w:sz="1" w:space="0" w:color="999999"/>
              <w:right w:val="single" w:sz="1" w:space="0" w:color="999999"/>
            </w:tcBorders>
          </w:tcPr>
          <w:p w14:paraId="0078E408" w14:textId="77777777" w:rsidR="00B45D7C" w:rsidRDefault="00000000">
            <w:proofErr w:type="spellStart"/>
            <w:r>
              <w:rPr>
                <w:sz w:val="22"/>
                <w:szCs w:val="22"/>
              </w:rPr>
              <w:t>prior_total_tickets</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38D0A674" w14:textId="77777777" w:rsidR="00B45D7C" w:rsidRDefault="00000000">
            <w:r>
              <w:rPr>
                <w:sz w:val="22"/>
                <w:szCs w:val="22"/>
              </w:rPr>
              <w:t>0.3623</w:t>
            </w:r>
          </w:p>
        </w:tc>
        <w:tc>
          <w:tcPr>
            <w:tcW w:w="4000" w:type="dxa"/>
            <w:tcBorders>
              <w:top w:val="single" w:sz="1" w:space="0" w:color="999999"/>
              <w:left w:val="single" w:sz="1" w:space="0" w:color="999999"/>
              <w:bottom w:val="single" w:sz="1" w:space="0" w:color="999999"/>
              <w:right w:val="single" w:sz="1" w:space="0" w:color="999999"/>
            </w:tcBorders>
          </w:tcPr>
          <w:p w14:paraId="378E75AD" w14:textId="77777777" w:rsidR="00B45D7C" w:rsidRDefault="00000000">
            <w:r>
              <w:rPr>
                <w:sz w:val="22"/>
                <w:szCs w:val="22"/>
              </w:rPr>
              <w:t>Cumulative historical sales—strongest predictor for remounts</w:t>
            </w:r>
          </w:p>
        </w:tc>
      </w:tr>
      <w:tr w:rsidR="00B45D7C" w14:paraId="19B454C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4F0FE5CA" w14:textId="77777777" w:rsidR="00B45D7C" w:rsidRDefault="00000000">
            <w:r>
              <w:rPr>
                <w:sz w:val="22"/>
                <w:szCs w:val="22"/>
              </w:rPr>
              <w:t>2</w:t>
            </w:r>
          </w:p>
        </w:tc>
        <w:tc>
          <w:tcPr>
            <w:tcW w:w="3200" w:type="dxa"/>
            <w:tcBorders>
              <w:top w:val="single" w:sz="1" w:space="0" w:color="999999"/>
              <w:left w:val="single" w:sz="1" w:space="0" w:color="999999"/>
              <w:bottom w:val="single" w:sz="1" w:space="0" w:color="999999"/>
              <w:right w:val="single" w:sz="1" w:space="0" w:color="999999"/>
            </w:tcBorders>
          </w:tcPr>
          <w:p w14:paraId="2FEF67E7" w14:textId="77777777" w:rsidR="00B45D7C" w:rsidRDefault="00000000">
            <w:proofErr w:type="spellStart"/>
            <w:r>
              <w:rPr>
                <w:sz w:val="22"/>
                <w:szCs w:val="22"/>
              </w:rPr>
              <w:t>ticket_median_prior</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0E71C384" w14:textId="77777777" w:rsidR="00B45D7C" w:rsidRDefault="00000000">
            <w:r>
              <w:rPr>
                <w:sz w:val="22"/>
                <w:szCs w:val="22"/>
              </w:rPr>
              <w:t>0.2831</w:t>
            </w:r>
          </w:p>
        </w:tc>
        <w:tc>
          <w:tcPr>
            <w:tcW w:w="4000" w:type="dxa"/>
            <w:tcBorders>
              <w:top w:val="single" w:sz="1" w:space="0" w:color="999999"/>
              <w:left w:val="single" w:sz="1" w:space="0" w:color="999999"/>
              <w:bottom w:val="single" w:sz="1" w:space="0" w:color="999999"/>
              <w:right w:val="single" w:sz="1" w:space="0" w:color="999999"/>
            </w:tcBorders>
          </w:tcPr>
          <w:p w14:paraId="3D665414" w14:textId="77777777" w:rsidR="00B45D7C" w:rsidRDefault="00000000">
            <w:r>
              <w:rPr>
                <w:sz w:val="22"/>
                <w:szCs w:val="22"/>
              </w:rPr>
              <w:t>Median past performance—robust to outlier runs</w:t>
            </w:r>
          </w:p>
        </w:tc>
      </w:tr>
      <w:tr w:rsidR="00B45D7C" w14:paraId="5CB8F86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362594D6" w14:textId="77777777" w:rsidR="00B45D7C" w:rsidRDefault="00000000">
            <w:r>
              <w:rPr>
                <w:sz w:val="22"/>
                <w:szCs w:val="22"/>
              </w:rPr>
              <w:t>3</w:t>
            </w:r>
          </w:p>
        </w:tc>
        <w:tc>
          <w:tcPr>
            <w:tcW w:w="3200" w:type="dxa"/>
            <w:tcBorders>
              <w:top w:val="single" w:sz="1" w:space="0" w:color="999999"/>
              <w:left w:val="single" w:sz="1" w:space="0" w:color="999999"/>
              <w:bottom w:val="single" w:sz="1" w:space="0" w:color="999999"/>
              <w:right w:val="single" w:sz="1" w:space="0" w:color="999999"/>
            </w:tcBorders>
          </w:tcPr>
          <w:p w14:paraId="5ACBAC35" w14:textId="77777777" w:rsidR="00B45D7C" w:rsidRDefault="00000000">
            <w:proofErr w:type="spellStart"/>
            <w:r>
              <w:rPr>
                <w:sz w:val="22"/>
                <w:szCs w:val="22"/>
              </w:rPr>
              <w:t>is_remount_recent</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529A5E9F" w14:textId="77777777" w:rsidR="00B45D7C" w:rsidRDefault="00000000">
            <w:r>
              <w:rPr>
                <w:sz w:val="22"/>
                <w:szCs w:val="22"/>
              </w:rPr>
              <w:t>0.0677</w:t>
            </w:r>
          </w:p>
        </w:tc>
        <w:tc>
          <w:tcPr>
            <w:tcW w:w="4000" w:type="dxa"/>
            <w:tcBorders>
              <w:top w:val="single" w:sz="1" w:space="0" w:color="999999"/>
              <w:left w:val="single" w:sz="1" w:space="0" w:color="999999"/>
              <w:bottom w:val="single" w:sz="1" w:space="0" w:color="999999"/>
              <w:right w:val="single" w:sz="1" w:space="0" w:color="999999"/>
            </w:tcBorders>
          </w:tcPr>
          <w:p w14:paraId="072CCCC9" w14:textId="77777777" w:rsidR="00B45D7C" w:rsidRDefault="00000000">
            <w:r>
              <w:rPr>
                <w:sz w:val="22"/>
                <w:szCs w:val="22"/>
              </w:rPr>
              <w:t>Recent remount flag—captures audience fatigue effects</w:t>
            </w:r>
          </w:p>
        </w:tc>
      </w:tr>
      <w:tr w:rsidR="00B45D7C" w14:paraId="31C2843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3F1DBEBD" w14:textId="77777777" w:rsidR="00B45D7C" w:rsidRDefault="00000000">
            <w:r>
              <w:rPr>
                <w:sz w:val="22"/>
                <w:szCs w:val="22"/>
              </w:rPr>
              <w:t>4</w:t>
            </w:r>
          </w:p>
        </w:tc>
        <w:tc>
          <w:tcPr>
            <w:tcW w:w="3200" w:type="dxa"/>
            <w:tcBorders>
              <w:top w:val="single" w:sz="1" w:space="0" w:color="999999"/>
              <w:left w:val="single" w:sz="1" w:space="0" w:color="999999"/>
              <w:bottom w:val="single" w:sz="1" w:space="0" w:color="999999"/>
              <w:right w:val="single" w:sz="1" w:space="0" w:color="999999"/>
            </w:tcBorders>
          </w:tcPr>
          <w:p w14:paraId="732B2B27" w14:textId="77777777" w:rsidR="00B45D7C" w:rsidRDefault="00000000">
            <w:proofErr w:type="spellStart"/>
            <w:r>
              <w:rPr>
                <w:sz w:val="22"/>
                <w:szCs w:val="22"/>
              </w:rPr>
              <w:t>inflation_adjustment_factor</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5A2376D8" w14:textId="77777777" w:rsidR="00B45D7C" w:rsidRDefault="00000000">
            <w:r>
              <w:rPr>
                <w:sz w:val="22"/>
                <w:szCs w:val="22"/>
              </w:rPr>
              <w:t>0.0550</w:t>
            </w:r>
          </w:p>
        </w:tc>
        <w:tc>
          <w:tcPr>
            <w:tcW w:w="4000" w:type="dxa"/>
            <w:tcBorders>
              <w:top w:val="single" w:sz="1" w:space="0" w:color="999999"/>
              <w:left w:val="single" w:sz="1" w:space="0" w:color="999999"/>
              <w:bottom w:val="single" w:sz="1" w:space="0" w:color="999999"/>
              <w:right w:val="single" w:sz="1" w:space="0" w:color="999999"/>
            </w:tcBorders>
          </w:tcPr>
          <w:p w14:paraId="1D932A17" w14:textId="77777777" w:rsidR="00B45D7C" w:rsidRDefault="00000000">
            <w:r>
              <w:rPr>
                <w:sz w:val="22"/>
                <w:szCs w:val="22"/>
              </w:rPr>
              <w:t>Economic normalisation to constant dollars</w:t>
            </w:r>
          </w:p>
        </w:tc>
      </w:tr>
      <w:tr w:rsidR="00B45D7C" w14:paraId="09C18EB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0E57970A" w14:textId="77777777" w:rsidR="00B45D7C" w:rsidRDefault="00000000">
            <w:r>
              <w:rPr>
                <w:sz w:val="22"/>
                <w:szCs w:val="22"/>
              </w:rPr>
              <w:t>5</w:t>
            </w:r>
          </w:p>
        </w:tc>
        <w:tc>
          <w:tcPr>
            <w:tcW w:w="3200" w:type="dxa"/>
            <w:tcBorders>
              <w:top w:val="single" w:sz="1" w:space="0" w:color="999999"/>
              <w:left w:val="single" w:sz="1" w:space="0" w:color="999999"/>
              <w:bottom w:val="single" w:sz="1" w:space="0" w:color="999999"/>
              <w:right w:val="single" w:sz="1" w:space="0" w:color="999999"/>
            </w:tcBorders>
          </w:tcPr>
          <w:p w14:paraId="514A18AC" w14:textId="77777777" w:rsidR="00B45D7C" w:rsidRDefault="00000000">
            <w:proofErr w:type="spellStart"/>
            <w:r>
              <w:rPr>
                <w:sz w:val="22"/>
                <w:szCs w:val="22"/>
              </w:rPr>
              <w:t>category_contemporary_mixed_bill</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22A1679C" w14:textId="77777777" w:rsidR="00B45D7C" w:rsidRDefault="00000000">
            <w:r>
              <w:rPr>
                <w:sz w:val="22"/>
                <w:szCs w:val="22"/>
              </w:rPr>
              <w:t>0.0429</w:t>
            </w:r>
          </w:p>
        </w:tc>
        <w:tc>
          <w:tcPr>
            <w:tcW w:w="4000" w:type="dxa"/>
            <w:tcBorders>
              <w:top w:val="single" w:sz="1" w:space="0" w:color="999999"/>
              <w:left w:val="single" w:sz="1" w:space="0" w:color="999999"/>
              <w:bottom w:val="single" w:sz="1" w:space="0" w:color="999999"/>
              <w:right w:val="single" w:sz="1" w:space="0" w:color="999999"/>
            </w:tcBorders>
          </w:tcPr>
          <w:p w14:paraId="25109F72" w14:textId="77777777" w:rsidR="00B45D7C" w:rsidRDefault="00000000">
            <w:r>
              <w:rPr>
                <w:sz w:val="22"/>
                <w:szCs w:val="22"/>
              </w:rPr>
              <w:t>Genre indicator for contemporary mixed programmes</w:t>
            </w:r>
          </w:p>
        </w:tc>
      </w:tr>
      <w:tr w:rsidR="00B45D7C" w14:paraId="406BD587"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618DB695" w14:textId="77777777" w:rsidR="00B45D7C" w:rsidRDefault="00000000">
            <w:r>
              <w:rPr>
                <w:sz w:val="22"/>
                <w:szCs w:val="22"/>
              </w:rPr>
              <w:t>6</w:t>
            </w:r>
          </w:p>
        </w:tc>
        <w:tc>
          <w:tcPr>
            <w:tcW w:w="3200" w:type="dxa"/>
            <w:tcBorders>
              <w:top w:val="single" w:sz="1" w:space="0" w:color="999999"/>
              <w:left w:val="single" w:sz="1" w:space="0" w:color="999999"/>
              <w:bottom w:val="single" w:sz="1" w:space="0" w:color="999999"/>
              <w:right w:val="single" w:sz="1" w:space="0" w:color="999999"/>
            </w:tcBorders>
          </w:tcPr>
          <w:p w14:paraId="14A26EBD" w14:textId="77777777" w:rsidR="00B45D7C" w:rsidRDefault="00000000">
            <w:proofErr w:type="spellStart"/>
            <w:r>
              <w:rPr>
                <w:sz w:val="22"/>
                <w:szCs w:val="22"/>
              </w:rPr>
              <w:t>youtube</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367EFEC2" w14:textId="77777777" w:rsidR="00B45D7C" w:rsidRDefault="00000000">
            <w:r>
              <w:rPr>
                <w:sz w:val="22"/>
                <w:szCs w:val="22"/>
              </w:rPr>
              <w:t>0.0244</w:t>
            </w:r>
          </w:p>
        </w:tc>
        <w:tc>
          <w:tcPr>
            <w:tcW w:w="4000" w:type="dxa"/>
            <w:tcBorders>
              <w:top w:val="single" w:sz="1" w:space="0" w:color="999999"/>
              <w:left w:val="single" w:sz="1" w:space="0" w:color="999999"/>
              <w:bottom w:val="single" w:sz="1" w:space="0" w:color="999999"/>
              <w:right w:val="single" w:sz="1" w:space="0" w:color="999999"/>
            </w:tcBorders>
          </w:tcPr>
          <w:p w14:paraId="410037DC" w14:textId="77777777" w:rsidR="00B45D7C" w:rsidRDefault="00000000">
            <w:r>
              <w:rPr>
                <w:sz w:val="22"/>
                <w:szCs w:val="22"/>
              </w:rPr>
              <w:t>Online engagement signal from YouTube</w:t>
            </w:r>
          </w:p>
        </w:tc>
      </w:tr>
      <w:tr w:rsidR="00B45D7C" w14:paraId="71D12D7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03EB7762" w14:textId="77777777" w:rsidR="00B45D7C" w:rsidRDefault="00000000">
            <w:r>
              <w:rPr>
                <w:sz w:val="22"/>
                <w:szCs w:val="22"/>
              </w:rPr>
              <w:t>7</w:t>
            </w:r>
          </w:p>
        </w:tc>
        <w:tc>
          <w:tcPr>
            <w:tcW w:w="3200" w:type="dxa"/>
            <w:tcBorders>
              <w:top w:val="single" w:sz="1" w:space="0" w:color="999999"/>
              <w:left w:val="single" w:sz="1" w:space="0" w:color="999999"/>
              <w:bottom w:val="single" w:sz="1" w:space="0" w:color="999999"/>
              <w:right w:val="single" w:sz="1" w:space="0" w:color="999999"/>
            </w:tcBorders>
          </w:tcPr>
          <w:p w14:paraId="7B4FAE2F" w14:textId="77777777" w:rsidR="00B45D7C" w:rsidRDefault="00000000">
            <w:proofErr w:type="spellStart"/>
            <w:r>
              <w:rPr>
                <w:sz w:val="22"/>
                <w:szCs w:val="22"/>
              </w:rPr>
              <w:t>run_count_prior</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3ADA3B22" w14:textId="77777777" w:rsidR="00B45D7C" w:rsidRDefault="00000000">
            <w:r>
              <w:rPr>
                <w:sz w:val="22"/>
                <w:szCs w:val="22"/>
              </w:rPr>
              <w:t>0.0242</w:t>
            </w:r>
          </w:p>
        </w:tc>
        <w:tc>
          <w:tcPr>
            <w:tcW w:w="4000" w:type="dxa"/>
            <w:tcBorders>
              <w:top w:val="single" w:sz="1" w:space="0" w:color="999999"/>
              <w:left w:val="single" w:sz="1" w:space="0" w:color="999999"/>
              <w:bottom w:val="single" w:sz="1" w:space="0" w:color="999999"/>
              <w:right w:val="single" w:sz="1" w:space="0" w:color="999999"/>
            </w:tcBorders>
          </w:tcPr>
          <w:p w14:paraId="611B5D25" w14:textId="77777777" w:rsidR="00B45D7C" w:rsidRDefault="00000000">
            <w:r>
              <w:rPr>
                <w:sz w:val="22"/>
                <w:szCs w:val="22"/>
              </w:rPr>
              <w:t>Number of previous performances</w:t>
            </w:r>
          </w:p>
        </w:tc>
      </w:tr>
      <w:tr w:rsidR="00B45D7C" w14:paraId="7F8FEA1A"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00C9B341" w14:textId="77777777" w:rsidR="00B45D7C" w:rsidRDefault="00000000">
            <w:r>
              <w:rPr>
                <w:sz w:val="22"/>
                <w:szCs w:val="22"/>
              </w:rPr>
              <w:t>8</w:t>
            </w:r>
          </w:p>
        </w:tc>
        <w:tc>
          <w:tcPr>
            <w:tcW w:w="3200" w:type="dxa"/>
            <w:tcBorders>
              <w:top w:val="single" w:sz="1" w:space="0" w:color="999999"/>
              <w:left w:val="single" w:sz="1" w:space="0" w:color="999999"/>
              <w:bottom w:val="single" w:sz="1" w:space="0" w:color="999999"/>
              <w:right w:val="single" w:sz="1" w:space="0" w:color="999999"/>
            </w:tcBorders>
          </w:tcPr>
          <w:p w14:paraId="54EE7EAF" w14:textId="77777777" w:rsidR="00B45D7C" w:rsidRDefault="00000000">
            <w:proofErr w:type="spellStart"/>
            <w:r>
              <w:rPr>
                <w:sz w:val="22"/>
                <w:szCs w:val="22"/>
              </w:rPr>
              <w:t>opening_week_of_year</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5C7ED0A5" w14:textId="77777777" w:rsidR="00B45D7C" w:rsidRDefault="00000000">
            <w:r>
              <w:rPr>
                <w:sz w:val="22"/>
                <w:szCs w:val="22"/>
              </w:rPr>
              <w:t>0.0177</w:t>
            </w:r>
          </w:p>
        </w:tc>
        <w:tc>
          <w:tcPr>
            <w:tcW w:w="4000" w:type="dxa"/>
            <w:tcBorders>
              <w:top w:val="single" w:sz="1" w:space="0" w:color="999999"/>
              <w:left w:val="single" w:sz="1" w:space="0" w:color="999999"/>
              <w:bottom w:val="single" w:sz="1" w:space="0" w:color="999999"/>
              <w:right w:val="single" w:sz="1" w:space="0" w:color="999999"/>
            </w:tcBorders>
          </w:tcPr>
          <w:p w14:paraId="081743C7" w14:textId="77777777" w:rsidR="00B45D7C" w:rsidRDefault="00000000">
            <w:r>
              <w:rPr>
                <w:sz w:val="22"/>
                <w:szCs w:val="22"/>
              </w:rPr>
              <w:t>Seasonal timing effects (week 1-52)</w:t>
            </w:r>
          </w:p>
        </w:tc>
      </w:tr>
      <w:tr w:rsidR="00B45D7C" w14:paraId="05AC88B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Pr>
          <w:p w14:paraId="4F14EC38" w14:textId="77777777" w:rsidR="00B45D7C" w:rsidRDefault="00000000">
            <w:r>
              <w:rPr>
                <w:sz w:val="22"/>
                <w:szCs w:val="22"/>
              </w:rPr>
              <w:t>9</w:t>
            </w:r>
          </w:p>
        </w:tc>
        <w:tc>
          <w:tcPr>
            <w:tcW w:w="3200" w:type="dxa"/>
            <w:tcBorders>
              <w:top w:val="single" w:sz="1" w:space="0" w:color="999999"/>
              <w:left w:val="single" w:sz="1" w:space="0" w:color="999999"/>
              <w:bottom w:val="single" w:sz="1" w:space="0" w:color="999999"/>
              <w:right w:val="single" w:sz="1" w:space="0" w:color="999999"/>
            </w:tcBorders>
          </w:tcPr>
          <w:p w14:paraId="70B6F516" w14:textId="77777777" w:rsidR="00B45D7C" w:rsidRDefault="00000000">
            <w:proofErr w:type="spellStart"/>
            <w:r>
              <w:rPr>
                <w:sz w:val="22"/>
                <w:szCs w:val="22"/>
              </w:rPr>
              <w:t>energy_index</w:t>
            </w:r>
            <w:proofErr w:type="spellEnd"/>
          </w:p>
        </w:tc>
        <w:tc>
          <w:tcPr>
            <w:tcW w:w="1400" w:type="dxa"/>
            <w:tcBorders>
              <w:top w:val="single" w:sz="1" w:space="0" w:color="999999"/>
              <w:left w:val="single" w:sz="1" w:space="0" w:color="999999"/>
              <w:bottom w:val="single" w:sz="1" w:space="0" w:color="999999"/>
              <w:right w:val="single" w:sz="1" w:space="0" w:color="999999"/>
            </w:tcBorders>
          </w:tcPr>
          <w:p w14:paraId="35E5378B" w14:textId="77777777" w:rsidR="00B45D7C" w:rsidRDefault="00000000">
            <w:r>
              <w:rPr>
                <w:sz w:val="22"/>
                <w:szCs w:val="22"/>
              </w:rPr>
              <w:t>0.0126</w:t>
            </w:r>
          </w:p>
        </w:tc>
        <w:tc>
          <w:tcPr>
            <w:tcW w:w="4000" w:type="dxa"/>
            <w:tcBorders>
              <w:top w:val="single" w:sz="1" w:space="0" w:color="999999"/>
              <w:left w:val="single" w:sz="1" w:space="0" w:color="999999"/>
              <w:bottom w:val="single" w:sz="1" w:space="0" w:color="999999"/>
              <w:right w:val="single" w:sz="1" w:space="0" w:color="999999"/>
            </w:tcBorders>
          </w:tcPr>
          <w:p w14:paraId="35908E36" w14:textId="77777777" w:rsidR="00B45D7C" w:rsidRDefault="00000000">
            <w:r>
              <w:rPr>
                <w:sz w:val="22"/>
                <w:szCs w:val="22"/>
              </w:rPr>
              <w:t>Alberta economic health proxy (oil/gas sector)</w:t>
            </w:r>
          </w:p>
        </w:tc>
      </w:tr>
    </w:tbl>
    <w:p w14:paraId="470642FA" w14:textId="77777777" w:rsidR="00B45D7C" w:rsidRDefault="00000000">
      <w:pPr>
        <w:spacing w:before="100" w:after="300"/>
        <w:jc w:val="center"/>
      </w:pPr>
      <w:r>
        <w:rPr>
          <w:rFonts w:ascii="Arial" w:eastAsia="Arial" w:hAnsi="Arial" w:cs="Arial"/>
          <w:i/>
          <w:iCs/>
          <w:sz w:val="22"/>
          <w:szCs w:val="22"/>
        </w:rPr>
        <w:t>Table 5: Top Features by Importance Value</w:t>
      </w:r>
    </w:p>
    <w:p w14:paraId="564450E1" w14:textId="77777777" w:rsidR="00B45D7C" w:rsidRDefault="00000000">
      <w:pPr>
        <w:pStyle w:val="Heading2"/>
      </w:pPr>
      <w:r>
        <w:t>4.6 SHAP Analysis for Explainability</w:t>
      </w:r>
    </w:p>
    <w:p w14:paraId="15DF9C56" w14:textId="77777777" w:rsidR="00B45D7C" w:rsidRDefault="00000000">
      <w:pPr>
        <w:spacing w:after="200" w:line="276" w:lineRule="auto"/>
      </w:pPr>
      <w:r>
        <w:t>SHAP (</w:t>
      </w:r>
      <w:proofErr w:type="spellStart"/>
      <w:r>
        <w:t>SHapley</w:t>
      </w:r>
      <w:proofErr w:type="spellEnd"/>
      <w:r>
        <w:t xml:space="preserve"> Additive </w:t>
      </w:r>
      <w:proofErr w:type="spellStart"/>
      <w:r>
        <w:t>exPlanations</w:t>
      </w:r>
      <w:proofErr w:type="spellEnd"/>
      <w:r>
        <w:t xml:space="preserve">) applies concepts from cooperative game theory to machine learning explanation. For each prediction, SHAP computes how much each feature contributed relative to a baseline prediction. The baseline is typically the average prediction across all training data, representing an "uninformed" forecast before considering the specific </w:t>
      </w:r>
      <w:r>
        <w:lastRenderedPageBreak/>
        <w:t>features of a production. Each feature's SHAP value then represents its contribution above or below this baseline.</w:t>
      </w:r>
    </w:p>
    <w:p w14:paraId="3E7D457E" w14:textId="77777777" w:rsidR="00B45D7C" w:rsidRDefault="00000000">
      <w:pPr>
        <w:spacing w:after="200" w:line="276" w:lineRule="auto"/>
      </w:pPr>
      <w:r>
        <w:t xml:space="preserve">Mathematically, SHAP decomposes a prediction into a sum of feature contributions: ŷ = φ₀ + </w:t>
      </w:r>
      <w:proofErr w:type="spellStart"/>
      <w:r>
        <w:t>Σφ</w:t>
      </w:r>
      <w:proofErr w:type="spellEnd"/>
      <w:r>
        <w:t xml:space="preserve">ᵢ where φ₀ is the baseline value, φᵢ is the SHAP value for feature </w:t>
      </w:r>
      <w:proofErr w:type="spellStart"/>
      <w:r>
        <w:t>i</w:t>
      </w:r>
      <w:proofErr w:type="spellEnd"/>
      <w:r>
        <w:t>, and p is the total number of features. The SHAP values satisfy several desirable properties: they sum to the total prediction (consistency), swapping identical features produces identical SHAP values (symmetry), and features that never affect predictions receive zero SHAP values (null player). These properties provide strong theoretical justification for using SHAP values as explanations.</w:t>
      </w:r>
    </w:p>
    <w:p w14:paraId="66DFB9BA" w14:textId="77777777" w:rsidR="00B45D7C" w:rsidRDefault="00000000">
      <w:pPr>
        <w:spacing w:after="200" w:line="276" w:lineRule="auto"/>
      </w:pPr>
      <w:r>
        <w:t xml:space="preserve">For tree-based models like </w:t>
      </w:r>
      <w:proofErr w:type="spellStart"/>
      <w:r>
        <w:t>XGBoost</w:t>
      </w:r>
      <w:proofErr w:type="spellEnd"/>
      <w:r>
        <w:t xml:space="preserve">, SHAP values can be computed efficiently using the </w:t>
      </w:r>
      <w:proofErr w:type="spellStart"/>
      <w:r>
        <w:t>TreeExplainer</w:t>
      </w:r>
      <w:proofErr w:type="spellEnd"/>
      <w:r>
        <w:t xml:space="preserve"> algorithm. This algorithm exploits the tree structure to calculate exact SHAP values in polynomial time rather than the exponential time required for the general Shapley value calculation. The system computes SHAP values for all training and validation productions when the --save-</w:t>
      </w:r>
      <w:proofErr w:type="spellStart"/>
      <w:r>
        <w:t>shap</w:t>
      </w:r>
      <w:proofErr w:type="spellEnd"/>
      <w:r>
        <w:t xml:space="preserve"> flag is enabled, storing them in results/</w:t>
      </w:r>
      <w:proofErr w:type="spellStart"/>
      <w:r>
        <w:t>shap</w:t>
      </w:r>
      <w:proofErr w:type="spellEnd"/>
      <w:r>
        <w:t>/</w:t>
      </w:r>
      <w:proofErr w:type="spellStart"/>
      <w:r>
        <w:t>shap_values.parquet</w:t>
      </w:r>
      <w:proofErr w:type="spellEnd"/>
      <w:r>
        <w:t xml:space="preserve"> for subsequent analysis.</w:t>
      </w:r>
    </w:p>
    <w:p w14:paraId="2FE5154C" w14:textId="77777777" w:rsidR="00B45D7C" w:rsidRDefault="00000000">
      <w:r>
        <w:br w:type="page"/>
      </w:r>
    </w:p>
    <w:p w14:paraId="026EE0B3" w14:textId="77777777" w:rsidR="00B45D7C" w:rsidRDefault="00000000">
      <w:pPr>
        <w:pStyle w:val="Heading1"/>
      </w:pPr>
      <w:r>
        <w:lastRenderedPageBreak/>
        <w:t>5. Evaluation Results</w:t>
      </w:r>
    </w:p>
    <w:p w14:paraId="72AEEF91" w14:textId="77777777" w:rsidR="00B45D7C" w:rsidRDefault="00000000">
      <w:pPr>
        <w:spacing w:after="200" w:line="276" w:lineRule="auto"/>
      </w:pPr>
      <w:r>
        <w:t>Model evaluation assesses how accurately the Title Scoring App predicts ticket sales under realistic forecasting conditions. The evaluation uses time-aware cross-validation to simulate operational deployment, where the model must predict future productions using only historical information.</w:t>
      </w:r>
    </w:p>
    <w:p w14:paraId="3C2984E4" w14:textId="77777777" w:rsidR="00B45D7C" w:rsidRDefault="00000000">
      <w:pPr>
        <w:pStyle w:val="Heading2"/>
      </w:pPr>
      <w:r>
        <w:t>5.1 Cross-Validation Performance Summary</w:t>
      </w:r>
    </w:p>
    <w:p w14:paraId="1FDBE8EF" w14:textId="77777777" w:rsidR="00B45D7C" w:rsidRDefault="00000000">
      <w:pPr>
        <w:spacing w:after="200" w:line="276" w:lineRule="auto"/>
      </w:pPr>
      <w:r>
        <w:t>The five-fold cross-validation yields performance metrics averaged across folds. The Mean Absolute Error of 649 tickets with a standard deviation of 565 tickets represents typical prediction accuracy. This means that half of predictions fall within approximately 649 tickets of actual outcomes, whilst the other half differ by more. For productions selling 2,000 tickets, a 649-ticket error represents roughly 32% error, whilst for productions selling 10,000 tickets, it represents only 6.5% error. The metric inherently favours larger productions where equal absolute errors constitute smaller percentage errors.</w:t>
      </w:r>
    </w:p>
    <w:p w14:paraId="5283E4F3" w14:textId="77777777" w:rsidR="00B45D7C" w:rsidRDefault="00000000">
      <w:pPr>
        <w:spacing w:after="200" w:line="276" w:lineRule="auto"/>
      </w:pPr>
      <w:r>
        <w:t>Root Mean Squared Error of 785 tickets penalises large errors more heavily than MAE. The fact that RMSE exceeds MAE indicates that some predictions miss by substantial margins, pulling up the squared error average. The standard deviation of 693 tickets across folds shows considerable performance variability, suggesting that some time periods are more predictable than others. This variability is expected given changing market conditions, economic cycles, and evolving artistic programming strategies over the years covered by the training data.</w:t>
      </w:r>
    </w:p>
    <w:p w14:paraId="28F32D19" w14:textId="77777777" w:rsidR="00B45D7C" w:rsidRDefault="00000000">
      <w:pPr>
        <w:spacing w:after="200" w:line="276" w:lineRule="auto"/>
      </w:pPr>
      <w:r>
        <w:t>The R-squared value of 0.627 indicates that the model explains approximately 63% of variance in ticket sales. The remaining 37% reflects both irreducible stochasticity in audience behaviour and systematic patterns the model has not captured. An R-squared of 0.627 is respectable for demand forecasting in the cultural sector, where numerous unmeasured factors influence outcomes.</w:t>
      </w:r>
    </w:p>
    <w:p w14:paraId="1415E45D" w14:textId="77777777" w:rsidR="00B45D7C" w:rsidRDefault="00000000">
      <w:pPr>
        <w:pStyle w:val="Heading2"/>
      </w:pPr>
      <w:proofErr w:type="gramStart"/>
      <w:r>
        <w:t>5.2 Fold</w:t>
      </w:r>
      <w:proofErr w:type="gramEnd"/>
      <w:r>
        <w:t>-Specific Analysis</w:t>
      </w:r>
    </w:p>
    <w:p w14:paraId="26E673D1" w14:textId="77777777" w:rsidR="00B45D7C" w:rsidRDefault="00000000">
      <w:pPr>
        <w:spacing w:after="200" w:line="276" w:lineRule="auto"/>
      </w:pPr>
      <w:r>
        <w:t>Examining individual fold performance reveals important patterns. Fold 1 produces an MAE of 1,542 tickets and a negative R-squared of -0.166, indicating that the model performs worse than simply predicting the mean for this validation period. This poor performance likely reflects structural differences between the earliest training data and the validation period, such as changes in venue capacities, programming strategies, or market conditions. Negative R-squared values occur when model predictions are less accurate than a constant prediction equal to the training set mean.</w:t>
      </w:r>
    </w:p>
    <w:p w14:paraId="71F5DCF5" w14:textId="77777777" w:rsidR="00B45D7C" w:rsidRDefault="00000000">
      <w:pPr>
        <w:spacing w:after="200" w:line="276" w:lineRule="auto"/>
      </w:pPr>
      <w:r>
        <w:t xml:space="preserve">Fold 2 improves substantially with an MAE of 649 tickets and an R-squared of 0.452, suggesting that additional training data helps the model better capture relevant patterns. As the training window expands to include more recent data, the model learns from conditions more </w:t>
      </w:r>
      <w:proofErr w:type="gramStart"/>
      <w:r>
        <w:t>similar to</w:t>
      </w:r>
      <w:proofErr w:type="gramEnd"/>
      <w:r>
        <w:t xml:space="preserve"> the validation period. Fold 3 maintains similar performance, indicating stable model behaviour across this period.</w:t>
      </w:r>
    </w:p>
    <w:p w14:paraId="002AA083" w14:textId="77777777" w:rsidR="00B45D7C" w:rsidRDefault="00000000">
      <w:pPr>
        <w:spacing w:after="200" w:line="276" w:lineRule="auto"/>
      </w:pPr>
      <w:r>
        <w:lastRenderedPageBreak/>
        <w:t>Fold 5 achieves exceptional performance with an MAE of only 166 tickets and an R-squared of 0.895, demonstrating near-excellent predictive accuracy. This strong performance might reflect several factors: the expanded training set includes more relevant recent data, the validation period might have been particularly typical or predictable, or the productions in this fold might have been primarily remounts with strong historical priors. The dramatic improvement in the most recent fold provides confidence that the model can achieve high accuracy under favourable conditions.</w:t>
      </w:r>
    </w:p>
    <w:p w14:paraId="7E5C7EA7" w14:textId="77777777" w:rsidR="00B45D7C" w:rsidRDefault="00000000">
      <w:pPr>
        <w:pStyle w:val="Heading2"/>
      </w:pPr>
      <w:r>
        <w:t>5.3 Error Pattern Analysis</w:t>
      </w:r>
    </w:p>
    <w:p w14:paraId="3D73CE4C" w14:textId="77777777" w:rsidR="00B45D7C" w:rsidRDefault="00000000">
      <w:pPr>
        <w:spacing w:after="200" w:line="276" w:lineRule="auto"/>
      </w:pPr>
      <w:r>
        <w:t xml:space="preserve">Beyond aggregate metrics, examining error patterns reveals systematic model behaviours. Productions with no prior history, termed cold starts, generally receive less accurate predictions. The model must rely entirely on genre averages, economic indicators, and buzz signals without the strong anchor provided by historical priors. Prediction errors for cold starts typically </w:t>
      </w:r>
      <w:proofErr w:type="gramStart"/>
      <w:r>
        <w:t>exceed</w:t>
      </w:r>
      <w:proofErr w:type="gramEnd"/>
      <w:r>
        <w:t xml:space="preserve"> errors for remounts by 50% to 100%, reflecting this fundamental information gap.</w:t>
      </w:r>
    </w:p>
    <w:p w14:paraId="1EBE049D" w14:textId="77777777" w:rsidR="00B45D7C" w:rsidRDefault="00000000">
      <w:pPr>
        <w:spacing w:after="200" w:line="276" w:lineRule="auto"/>
      </w:pPr>
      <w:r>
        <w:t>Recent remounts with strong consistent historical performance yield the most accurate predictions. When a production has been performed multiple times with similar ticket sales across runs, the model can confidently predict similar outcomes. Variation in performance across past runs introduces uncertainty that propagates into predictions. A title that sold 500 tickets in one run but 5,000 tickets in another presents a challenging prediction problem, as the model must infer which pattern is more likely to repeat.</w:t>
      </w:r>
    </w:p>
    <w:p w14:paraId="7AC3CE0D" w14:textId="77777777" w:rsidR="00B45D7C" w:rsidRDefault="00000000">
      <w:pPr>
        <w:spacing w:after="200" w:line="276" w:lineRule="auto"/>
      </w:pPr>
      <w:r>
        <w:t>Economic regime shifts pose challenges for models trained primarily on stable periods. The training data might cover economic expansions with rising consumer confidence and steady inflation, providing limited information about behaviour during recessions or rapid inflation. If validation periods include such shifts, prediction accuracy suffers. The model might have learned relationships between economic indicators and ticket sales that do not hold under extreme conditions.</w:t>
      </w:r>
    </w:p>
    <w:p w14:paraId="44C4D2D1" w14:textId="77777777" w:rsidR="00B45D7C" w:rsidRDefault="00000000">
      <w:r>
        <w:br w:type="page"/>
      </w:r>
    </w:p>
    <w:p w14:paraId="4DD86CC6" w14:textId="77777777" w:rsidR="00B45D7C" w:rsidRDefault="00000000">
      <w:pPr>
        <w:pStyle w:val="Heading1"/>
      </w:pPr>
      <w:r>
        <w:lastRenderedPageBreak/>
        <w:t>6. Interpretability &amp; Explainability</w:t>
      </w:r>
    </w:p>
    <w:p w14:paraId="02D1C166" w14:textId="77777777" w:rsidR="00B45D7C" w:rsidRDefault="00000000">
      <w:pPr>
        <w:pStyle w:val="Heading2"/>
      </w:pPr>
      <w:r>
        <w:t>6.1 Global Feature Importance</w:t>
      </w:r>
    </w:p>
    <w:p w14:paraId="43F514E3" w14:textId="77777777" w:rsidR="00B45D7C" w:rsidRDefault="00000000">
      <w:pPr>
        <w:spacing w:after="200" w:line="276" w:lineRule="auto"/>
      </w:pPr>
      <w:r>
        <w:t xml:space="preserve">Feature importance analysis reveals which information sources contribute most to predictions across all productions and time periods. The </w:t>
      </w:r>
      <w:proofErr w:type="spellStart"/>
      <w:r>
        <w:t>prior_total_tickets</w:t>
      </w:r>
      <w:proofErr w:type="spellEnd"/>
      <w:r>
        <w:t xml:space="preserve"> feature dominates with an importance value of 0.3623, indicating that cumulative historical ticket sales provide by far the strongest signal for remount demand. This dominance makes intuitive sense, as past demonstrated success predicts future success better than any indirect indicator. Productions that have historically sold well typically continue to sell well, barring significant changes in artistic interpretation or market conditions.</w:t>
      </w:r>
    </w:p>
    <w:p w14:paraId="2C2F101A" w14:textId="77777777" w:rsidR="00B45D7C" w:rsidRDefault="00000000">
      <w:pPr>
        <w:spacing w:after="200" w:line="276" w:lineRule="auto"/>
      </w:pPr>
      <w:r>
        <w:t xml:space="preserve">The </w:t>
      </w:r>
      <w:proofErr w:type="spellStart"/>
      <w:r>
        <w:t>ticket_median_prior</w:t>
      </w:r>
      <w:proofErr w:type="spellEnd"/>
      <w:r>
        <w:t xml:space="preserve"> feature ranks second with importance 0.2831, capturing typical performance level whilst remaining robust to outlier runs. The distinction between total and median priors allows the model to distinguish between titles performed many times with moderate success and titles performed few times with exceptional success. A title with 20 prior runs totalling 20,000 tickets (median 1,000) differs from a title with two prior runs totalling 20,000 tickets (median 10,000), and this distinction matters for predictions.</w:t>
      </w:r>
    </w:p>
    <w:p w14:paraId="24897270" w14:textId="77777777" w:rsidR="00B45D7C" w:rsidRDefault="00000000">
      <w:pPr>
        <w:spacing w:after="200" w:line="276" w:lineRule="auto"/>
      </w:pPr>
      <w:r>
        <w:t xml:space="preserve">The </w:t>
      </w:r>
      <w:proofErr w:type="spellStart"/>
      <w:r>
        <w:t>is_remount_recent</w:t>
      </w:r>
      <w:proofErr w:type="spellEnd"/>
      <w:r>
        <w:t xml:space="preserve"> indicator achieves importance 0.0677, substantially lower than the raw historical sales metrics but still significant. This feature captures audience fatigue effects, where productions returning too quickly face diminished demand. The model learns that even productions with strong historical sales see reduced attendance when remounted within a few years. This learned pattern aligns with industry intuition about spacing remounts to allow new audiences to develop and previous audiences to forget enough detail to warrant repeat attendance.</w:t>
      </w:r>
    </w:p>
    <w:p w14:paraId="47F806FB" w14:textId="77777777" w:rsidR="00B45D7C" w:rsidRDefault="00000000">
      <w:pPr>
        <w:pStyle w:val="Heading2"/>
      </w:pPr>
      <w:r>
        <w:t>6.2 SHAP Summary Visualisation</w:t>
      </w:r>
    </w:p>
    <w:p w14:paraId="1130B24A" w14:textId="77777777" w:rsidR="00B45D7C" w:rsidRDefault="00000000">
      <w:pPr>
        <w:spacing w:after="200" w:line="276" w:lineRule="auto"/>
      </w:pPr>
      <w:r>
        <w:t>The SHAP summary plot provides a visual representation of feature importance that extends beyond simple rankings. Features appear on the vertical axis ordered by average absolute SHAP value, whilst individual data points scatter horizontally according to their SHAP value for that feature. Colour intensity represents the feature's actual value, with red indicating high values and blue indicating low values. This visualisation simultaneously shows which features matter most, in which direction they typically push predictions, and how feature values correlate with their impact.</w:t>
      </w:r>
    </w:p>
    <w:p w14:paraId="143471F7" w14:textId="77777777" w:rsidR="00B45D7C" w:rsidRDefault="00000000">
      <w:pPr>
        <w:spacing w:after="200" w:line="276" w:lineRule="auto"/>
      </w:pPr>
      <w:r>
        <w:t xml:space="preserve">For </w:t>
      </w:r>
      <w:proofErr w:type="spellStart"/>
      <w:r>
        <w:t>prior_total_tickets</w:t>
      </w:r>
      <w:proofErr w:type="spellEnd"/>
      <w:r>
        <w:t xml:space="preserve">, the plot shows predominantly red points on the positive side and blue points near zero, indicating that high prior sales push predictions upward whilst zero or low prior sales leave predictions near baseline. The tight clustering of points along a roughly linear relationship suggests that this feature's effect is relatively straightforward and consistent across productions. Every additional thousand tickets of prior sales </w:t>
      </w:r>
      <w:proofErr w:type="gramStart"/>
      <w:r>
        <w:t>contributes</w:t>
      </w:r>
      <w:proofErr w:type="gramEnd"/>
      <w:r>
        <w:t xml:space="preserve"> predictably to higher predictions, without complex interaction effects.</w:t>
      </w:r>
    </w:p>
    <w:p w14:paraId="3B04C33C" w14:textId="77777777" w:rsidR="00B45D7C" w:rsidRDefault="00000000">
      <w:pPr>
        <w:spacing w:after="200" w:line="276" w:lineRule="auto"/>
      </w:pPr>
      <w:r>
        <w:t xml:space="preserve">The </w:t>
      </w:r>
      <w:proofErr w:type="spellStart"/>
      <w:r>
        <w:t>is_remount_recent</w:t>
      </w:r>
      <w:proofErr w:type="spellEnd"/>
      <w:r>
        <w:t xml:space="preserve"> feature shows a different pattern. Points cluster into two groups corresponding to the binary values zero and one, with the one-valued group appearing </w:t>
      </w:r>
      <w:r>
        <w:lastRenderedPageBreak/>
        <w:t>predominantly on the negative side. This indicates that recent remounts typically receive downward adjustments to their predictions, reflecting audience fatigue. The magnitude of this adjustment varies, as shown by the vertical spread of points, with some recent remounts penalised more heavily than others depending on other contextual factors.</w:t>
      </w:r>
    </w:p>
    <w:p w14:paraId="40C2989B" w14:textId="77777777" w:rsidR="00B45D7C" w:rsidRDefault="00000000">
      <w:pPr>
        <w:pStyle w:val="Heading2"/>
      </w:pPr>
      <w:r>
        <w:t>6.3 Individual Prediction Explanations</w:t>
      </w:r>
    </w:p>
    <w:p w14:paraId="04655AEA" w14:textId="77777777" w:rsidR="00B45D7C" w:rsidRDefault="00000000">
      <w:pPr>
        <w:spacing w:after="200" w:line="276" w:lineRule="auto"/>
      </w:pPr>
      <w:r>
        <w:t>SHAP analysis extends beyond global summaries to provide instance-specific explanations for individual predictions. Consider a hypothetical production of Cinderella opening in December with strong historical sales. The base prediction value, representing the average across all productions in the training set, might be 6,000 tickets. The actual prediction for this specific production is 14,500 tickets, representing a substantial positive adjustment. SHAP values explain this adjustment feature by feature.</w:t>
      </w:r>
    </w:p>
    <w:p w14:paraId="3F5D6600" w14:textId="77777777" w:rsidR="00B45D7C" w:rsidRDefault="00000000">
      <w:pPr>
        <w:spacing w:after="200" w:line="276" w:lineRule="auto"/>
      </w:pPr>
      <w:r>
        <w:t xml:space="preserve">The </w:t>
      </w:r>
      <w:proofErr w:type="spellStart"/>
      <w:r>
        <w:t>prior_total_tickets</w:t>
      </w:r>
      <w:proofErr w:type="spellEnd"/>
      <w:r>
        <w:t xml:space="preserve"> feature contributes +5,200 tickets because this production has sold 45,000 tickets across nine previous runs, indicating strong historical demand. The </w:t>
      </w:r>
      <w:proofErr w:type="spellStart"/>
      <w:r>
        <w:t>ticket_median_prior</w:t>
      </w:r>
      <w:proofErr w:type="spellEnd"/>
      <w:r>
        <w:t xml:space="preserve"> adds another +2,100 tickets as the median of 4,800 tickets per run confirms consistent performance. The </w:t>
      </w:r>
      <w:proofErr w:type="spellStart"/>
      <w:r>
        <w:t>opening_is_holiday_season</w:t>
      </w:r>
      <w:proofErr w:type="spellEnd"/>
      <w:r>
        <w:t xml:space="preserve"> indicator adds +1,800 tickets because December timing benefits from holiday audiences and gift-giving. The </w:t>
      </w:r>
      <w:proofErr w:type="spellStart"/>
      <w:r>
        <w:t>inflation_adjustment_factor</w:t>
      </w:r>
      <w:proofErr w:type="spellEnd"/>
      <w:r>
        <w:t xml:space="preserve"> contributes +600 tickets by appropriately scaling historical sales to current dollar values.</w:t>
      </w:r>
    </w:p>
    <w:p w14:paraId="7D1EE12B" w14:textId="77777777" w:rsidR="00B45D7C" w:rsidRDefault="00000000">
      <w:pPr>
        <w:spacing w:after="200" w:line="276" w:lineRule="auto"/>
      </w:pPr>
      <w:r>
        <w:t xml:space="preserve">Several features contribute negative adjustments. The </w:t>
      </w:r>
      <w:proofErr w:type="spellStart"/>
      <w:r>
        <w:t>is_remount_recent</w:t>
      </w:r>
      <w:proofErr w:type="spellEnd"/>
      <w:r>
        <w:t xml:space="preserve"> feature subtracts -900 tickets because this production was last performed only three years ago, suggesting some audience fatigue. The </w:t>
      </w:r>
      <w:proofErr w:type="spellStart"/>
      <w:r>
        <w:t>energy_index</w:t>
      </w:r>
      <w:proofErr w:type="spellEnd"/>
      <w:r>
        <w:t xml:space="preserve">, reflecting current economic conditions slightly below historical average, subtracts -200 tickets. Buzz signals including </w:t>
      </w:r>
      <w:proofErr w:type="spellStart"/>
      <w:r>
        <w:t>youtube</w:t>
      </w:r>
      <w:proofErr w:type="spellEnd"/>
      <w:r>
        <w:t xml:space="preserve"> and wiki collectively add only +100 tickets as this classical title does not generate substantial online engagement compared to contemporary works. This decomposition makes the prediction completely transparent and auditable.</w:t>
      </w:r>
    </w:p>
    <w:p w14:paraId="24B1204A" w14:textId="77777777" w:rsidR="00B45D7C" w:rsidRDefault="00000000">
      <w:r>
        <w:br w:type="page"/>
      </w:r>
    </w:p>
    <w:p w14:paraId="3A307F7D" w14:textId="77777777" w:rsidR="00B45D7C" w:rsidRDefault="00000000">
      <w:pPr>
        <w:pStyle w:val="Heading1"/>
      </w:pPr>
      <w:r>
        <w:lastRenderedPageBreak/>
        <w:t>7. Integrations &amp; Deployment</w:t>
      </w:r>
    </w:p>
    <w:p w14:paraId="7197B89F" w14:textId="77777777" w:rsidR="00B45D7C" w:rsidRDefault="00000000">
      <w:pPr>
        <w:pStyle w:val="Heading2"/>
      </w:pPr>
      <w:r>
        <w:t>7.1 External Data Source Integrations</w:t>
      </w:r>
    </w:p>
    <w:p w14:paraId="6492A046" w14:textId="77777777" w:rsidR="00B45D7C" w:rsidRDefault="00000000">
      <w:pPr>
        <w:spacing w:after="200" w:line="276" w:lineRule="auto"/>
      </w:pPr>
      <w:r>
        <w:t>The Title Scoring App integrates data from multiple external sources to enrich its feature set beyond internal historical records. The Bank of Canada provides macroeconomic indicators through the utility client implemented in utils/boc_client.py and configured via config/</w:t>
      </w:r>
      <w:proofErr w:type="spellStart"/>
      <w:r>
        <w:t>economic_boc.yaml</w:t>
      </w:r>
      <w:proofErr w:type="spellEnd"/>
      <w:r>
        <w:t>. This integration retrieves monthly consumer price index values for inflation adjustment, exchange rate data that might affect international tourism, and various confidence indices measuring economic sentiment. The system caches Bank of Canada data in CSV files such as boc_cpi_monthly.csv to minimise API calls and provide fallback data during connectivity issues.</w:t>
      </w:r>
    </w:p>
    <w:p w14:paraId="681B88A6" w14:textId="77777777" w:rsidR="00B45D7C" w:rsidRDefault="00000000">
      <w:pPr>
        <w:spacing w:after="200" w:line="276" w:lineRule="auto"/>
      </w:pPr>
      <w:r>
        <w:t xml:space="preserve">The </w:t>
      </w:r>
      <w:proofErr w:type="spellStart"/>
      <w:r>
        <w:t>PredictHQ</w:t>
      </w:r>
      <w:proofErr w:type="spellEnd"/>
      <w:r>
        <w:t xml:space="preserve"> integration, implemented in integrations/predicthq.py, provides event and tourism signal integration for understanding competitive landscape and visitor patterns. Major sporting events, concerts, or conventions might compete for entertainment dollars or alternatively bring audiences to the city who might attend ballet performances. This integration is optional and requires authentication credentials, subject to rate limiting by the </w:t>
      </w:r>
      <w:proofErr w:type="spellStart"/>
      <w:r>
        <w:t>PredictHQ</w:t>
      </w:r>
      <w:proofErr w:type="spellEnd"/>
      <w:r>
        <w:t xml:space="preserve"> API. When credentials are unavailable or rate limits are reached, the system continues functioning without these signals.</w:t>
      </w:r>
    </w:p>
    <w:p w14:paraId="035645BD" w14:textId="77777777" w:rsidR="00B45D7C" w:rsidRDefault="00000000">
      <w:pPr>
        <w:spacing w:after="200" w:line="276" w:lineRule="auto"/>
      </w:pPr>
      <w:r>
        <w:t xml:space="preserve">Ticketing system integrations through Ticketmaster and </w:t>
      </w:r>
      <w:proofErr w:type="spellStart"/>
      <w:r>
        <w:t>Archtics</w:t>
      </w:r>
      <w:proofErr w:type="spellEnd"/>
      <w:r>
        <w:t>, implemented in integrations/ticketmaster.py and archtics.py, provide historical sales data and metadata. These integrations handle vendor-specific data formats, normalising ticket counts, performance dates, and venue information into the unified schema used by the modelling pipeline. The integrations account for differences in how vendors record complimentary tickets, group sales, and subscription allocations to ensure consistent historical records.</w:t>
      </w:r>
    </w:p>
    <w:p w14:paraId="1FBE19B0" w14:textId="77777777" w:rsidR="00B45D7C" w:rsidRDefault="00000000">
      <w:pPr>
        <w:pStyle w:val="Heading2"/>
      </w:pPr>
      <w:r>
        <w:t>7.2 Forecasting Interface Design</w:t>
      </w:r>
    </w:p>
    <w:p w14:paraId="5AEC26FD" w14:textId="77777777" w:rsidR="00B45D7C" w:rsidRDefault="00000000">
      <w:pPr>
        <w:spacing w:after="200" w:line="276" w:lineRule="auto"/>
      </w:pPr>
      <w:r>
        <w:t xml:space="preserve">The primary forecasting interface resides in service/forecast.py, providing a clean API for generating predictions. The main function </w:t>
      </w:r>
      <w:proofErr w:type="spellStart"/>
      <w:r>
        <w:t>forecast_</w:t>
      </w:r>
      <w:proofErr w:type="gramStart"/>
      <w:r>
        <w:t>title</w:t>
      </w:r>
      <w:proofErr w:type="spellEnd"/>
      <w:r>
        <w:t>(</w:t>
      </w:r>
      <w:proofErr w:type="gramEnd"/>
      <w:r>
        <w:t>) accepts a dictionary containing title metadata, including canonical title name, proposed opening date, city or venue, production category, and any known remount information. The function returns a structured dictionary containing the predicted ticket count in interpretable units, SHAP values for each feature showing their contributions, confidence bounds when available, and metadata about which features were used and which were imputed due to missing data.</w:t>
      </w:r>
    </w:p>
    <w:p w14:paraId="30A09EA3" w14:textId="77777777" w:rsidR="00B45D7C" w:rsidRDefault="00000000">
      <w:pPr>
        <w:spacing w:after="200" w:line="276" w:lineRule="auto"/>
      </w:pPr>
      <w:r>
        <w:t>The interface design prioritises both programmatic and interactive use. Python applications can import the forecast module and call functions directly, receiving structured dictionaries suitable for further processing. Command-line scripts in the scripts/ directory wrap these functions with argument parsing, allowing users to generate forecasts from the terminal without writing Python code. The scoring interface validates inputs against expected schemas defined in config/validation.py, raising informative errors when required fields are missing or have invalid formats.</w:t>
      </w:r>
    </w:p>
    <w:p w14:paraId="1CF2AE2E" w14:textId="77777777" w:rsidR="00B45D7C" w:rsidRDefault="00000000">
      <w:pPr>
        <w:pStyle w:val="Heading2"/>
      </w:pPr>
      <w:r>
        <w:lastRenderedPageBreak/>
        <w:t>7.3 Model Versioning and Artefact Management</w:t>
      </w:r>
    </w:p>
    <w:p w14:paraId="2510E1D2" w14:textId="77777777" w:rsidR="00B45D7C" w:rsidRDefault="00000000">
      <w:pPr>
        <w:spacing w:after="200" w:line="276" w:lineRule="auto"/>
      </w:pPr>
      <w:r>
        <w:t xml:space="preserve">Each trained model is saved with a semantic identifier that captures its configuration and training context. The filename </w:t>
      </w:r>
      <w:proofErr w:type="spellStart"/>
      <w:r>
        <w:t>model_xgb_remount_</w:t>
      </w:r>
      <w:proofErr w:type="gramStart"/>
      <w:r>
        <w:t>postcovid.joblib</w:t>
      </w:r>
      <w:proofErr w:type="spellEnd"/>
      <w:proofErr w:type="gramEnd"/>
      <w:r>
        <w:t xml:space="preserve"> indicates that this is an </w:t>
      </w:r>
      <w:proofErr w:type="spellStart"/>
      <w:r>
        <w:t>XGBoost</w:t>
      </w:r>
      <w:proofErr w:type="spellEnd"/>
      <w:r>
        <w:t xml:space="preserve"> model, focused on remount prediction, trained on post-COVID data. This naming convention supports maintaining multiple model variants for different purposes or time periods. Alongside the serialised model file, the system saves a metadata JSON file containing feature names in order, preprocessing transformations applied, training date and data version, hyperparameters used, and cross-validation performance metrics.</w:t>
      </w:r>
    </w:p>
    <w:p w14:paraId="13B3F73B" w14:textId="77777777" w:rsidR="00B45D7C" w:rsidRDefault="00000000">
      <w:pPr>
        <w:spacing w:after="200" w:line="276" w:lineRule="auto"/>
      </w:pPr>
      <w:r>
        <w:t xml:space="preserve">SHAP values computed during training </w:t>
      </w:r>
      <w:proofErr w:type="gramStart"/>
      <w:r>
        <w:t>are persisted</w:t>
      </w:r>
      <w:proofErr w:type="gramEnd"/>
      <w:r>
        <w:t xml:space="preserve"> separately in results/</w:t>
      </w:r>
      <w:proofErr w:type="spellStart"/>
      <w:r>
        <w:t>shap</w:t>
      </w:r>
      <w:proofErr w:type="spellEnd"/>
      <w:r>
        <w:t>/</w:t>
      </w:r>
      <w:proofErr w:type="spellStart"/>
      <w:r>
        <w:t>shap_values.parquet</w:t>
      </w:r>
      <w:proofErr w:type="spellEnd"/>
      <w:r>
        <w:t>, allowing post-hoc analysis without recomputing expensive explanations. The Parquet format provides efficient columnar storage with strong schema support, ensuring that SHAP values can be loaded quickly for visualisation or further analysis. Feature importance rankings are exported to CSV files for easy inspection in spreadsheet applications or import into reporting tools.</w:t>
      </w:r>
    </w:p>
    <w:p w14:paraId="7A203FE9" w14:textId="77777777" w:rsidR="00B45D7C" w:rsidRDefault="00000000">
      <w:r>
        <w:br w:type="page"/>
      </w:r>
    </w:p>
    <w:p w14:paraId="4240D7AA" w14:textId="77777777" w:rsidR="00B45D7C" w:rsidRDefault="00000000">
      <w:pPr>
        <w:pStyle w:val="Heading1"/>
      </w:pPr>
      <w:r>
        <w:lastRenderedPageBreak/>
        <w:t>8. Risk, Bias, and Governance</w:t>
      </w:r>
    </w:p>
    <w:p w14:paraId="4C9E5E90" w14:textId="77777777" w:rsidR="00B45D7C" w:rsidRDefault="00000000">
      <w:pPr>
        <w:pStyle w:val="Heading2"/>
      </w:pPr>
      <w:r>
        <w:t>8.1 Data Leakage Controls</w:t>
      </w:r>
    </w:p>
    <w:p w14:paraId="729E90ED" w14:textId="77777777" w:rsidR="00B45D7C" w:rsidRDefault="00000000">
      <w:pPr>
        <w:spacing w:after="200" w:line="276" w:lineRule="auto"/>
      </w:pPr>
      <w:r>
        <w:t>Preventing data leakage is fundamental to valid forecasting and represents one of the most critical risk management aspects of the system. Data leakage occurs when information from the future inadvertently influences predictions about the past, creating an illusion of accuracy that evaporates in real-world deployment. The Alberta Ballet system implements comprehensive controls documented across code, configuration, and automated tests.</w:t>
      </w:r>
    </w:p>
    <w:p w14:paraId="482AD367" w14:textId="77777777" w:rsidR="00B45D7C" w:rsidRDefault="00000000">
      <w:pPr>
        <w:spacing w:after="200" w:line="276" w:lineRule="auto"/>
      </w:pPr>
      <w:r>
        <w:t xml:space="preserve">The time-aware cross-validation strategy, implemented in ml/time_splits.py, forms the first line of defence. The </w:t>
      </w:r>
      <w:proofErr w:type="spellStart"/>
      <w:r>
        <w:t>TimeSeriesCVSplitter</w:t>
      </w:r>
      <w:proofErr w:type="spellEnd"/>
      <w:r>
        <w:t xml:space="preserve"> class requires explicit specification of a temporal ordering column, typically </w:t>
      </w:r>
      <w:proofErr w:type="spellStart"/>
      <w:r>
        <w:t>opening_date</w:t>
      </w:r>
      <w:proofErr w:type="spellEnd"/>
      <w:r>
        <w:t>, and raises errors if this column is missing or contains null values that would break chronological sorting. Each validation fold is constructed by taking the earliest remaining data as training and the next chronological block as validation, ensuring strict temporal separation.</w:t>
      </w:r>
    </w:p>
    <w:p w14:paraId="2DFCE146" w14:textId="77777777" w:rsidR="00B45D7C" w:rsidRDefault="00000000">
      <w:pPr>
        <w:spacing w:after="200" w:line="276" w:lineRule="auto"/>
      </w:pPr>
      <w:r>
        <w:t xml:space="preserve">Feature engineering modules respect temporal boundaries by design. When computing </w:t>
      </w:r>
      <w:proofErr w:type="spellStart"/>
      <w:r>
        <w:t>prior_total_tickets</w:t>
      </w:r>
      <w:proofErr w:type="spellEnd"/>
      <w:r>
        <w:t xml:space="preserve"> for a production, the aggregation includes only runs with closing dates before the target production's opening date. The SQL-like filtering logic explicitly excludes contemporaneous or future runs. Economic indicators are lagged appropriately, using values from the month preceding or concurrent with opening rather than future months. Buzz signals are computed over windows ending before the opening date, not including concurrent or future engagement.</w:t>
      </w:r>
    </w:p>
    <w:p w14:paraId="595AFF83" w14:textId="77777777" w:rsidR="00B45D7C" w:rsidRDefault="00000000">
      <w:pPr>
        <w:pStyle w:val="Heading2"/>
      </w:pPr>
      <w:r>
        <w:t>8.2 Bias and Fairness Considerations</w:t>
      </w:r>
    </w:p>
    <w:p w14:paraId="13093091" w14:textId="77777777" w:rsidR="00B45D7C" w:rsidRDefault="00000000">
      <w:pPr>
        <w:spacing w:after="200" w:line="276" w:lineRule="auto"/>
      </w:pPr>
      <w:r>
        <w:t>Machine learning models can perpetuate or amplify biases present in training data, leading to systematic unfairness. The Title Scoring App operates in a domain where several dimensions of potential bias warrant attention. Category bias can occur when certain ballet genres have limited training examples, leading to high variance or systematic errors in predictions for those categories. The model includes one-hot encoded categorical features for production types, allowing it to learn genre-specific baselines, but small sample sizes for niche categories limit learning quality.</w:t>
      </w:r>
    </w:p>
    <w:p w14:paraId="6298D456" w14:textId="77777777" w:rsidR="00B45D7C" w:rsidRDefault="00000000">
      <w:pPr>
        <w:spacing w:after="200" w:line="276" w:lineRule="auto"/>
      </w:pPr>
      <w:r>
        <w:t xml:space="preserve">Geographic bias arises from uneven data distribution across cities. Calgary and Edmonton dominate the historical record, whilst smaller venues or occasional touring stops provide fewer training examples. The model includes city-level features such as population, median income, and regional economic indicators, allowing it to adapt predictions to different markets. However, limited data from smaller cities constrains how well the model captures local preferences and market dynamics. Predictions for well-represented cities naturally achieve higher accuracy than predictions for </w:t>
      </w:r>
      <w:proofErr w:type="gramStart"/>
      <w:r>
        <w:t>rarely-visited</w:t>
      </w:r>
      <w:proofErr w:type="gramEnd"/>
      <w:r>
        <w:t xml:space="preserve"> venues.</w:t>
      </w:r>
    </w:p>
    <w:p w14:paraId="1C16C0C9" w14:textId="77777777" w:rsidR="00B45D7C" w:rsidRDefault="00000000">
      <w:pPr>
        <w:spacing w:after="200" w:line="276" w:lineRule="auto"/>
      </w:pPr>
      <w:r>
        <w:t xml:space="preserve">The model does not encode or predict based on protected characteristics such as choreographer gender, dancer ethnicity, or other demographic attributes. Whilst the underlying dataset might contain such information for analysis purposes, these features are </w:t>
      </w:r>
      <w:r>
        <w:lastRenderedPageBreak/>
        <w:t>explicitly excluded from model training to prevent discriminatory patterns. The focus remains on observable demand signals—historical sales, economic context, buzz metrics—rather than attempting to model audience preferences based on creator or performer demographics.</w:t>
      </w:r>
    </w:p>
    <w:p w14:paraId="2FEE94D2" w14:textId="77777777" w:rsidR="00B45D7C" w:rsidRDefault="00000000">
      <w:pPr>
        <w:pStyle w:val="Heading2"/>
      </w:pPr>
      <w:r>
        <w:t>8.3 Model Governance Framework</w:t>
      </w:r>
    </w:p>
    <w:p w14:paraId="6ECFFFCC" w14:textId="77777777" w:rsidR="00B45D7C" w:rsidRDefault="00000000">
      <w:pPr>
        <w:spacing w:after="200" w:line="276" w:lineRule="auto"/>
      </w:pPr>
      <w:r>
        <w:t>Governance encompasses the policies, procedures, and organisational structures that ensure responsible model use. The Alberta Ballet system currently implements lightweight governance appropriate to its internal decision support role. Model training is documented through command-line logs that capture hyperparameters, data versions, and performance metrics. These logs are archived alongside model artefacts, providing an audit trail of how each model version was created.</w:t>
      </w:r>
    </w:p>
    <w:p w14:paraId="3C952833" w14:textId="77777777" w:rsidR="00B45D7C" w:rsidRDefault="00000000">
      <w:pPr>
        <w:spacing w:after="200" w:line="276" w:lineRule="auto"/>
      </w:pPr>
      <w:r>
        <w:t>Change management for model updates follows a review process where new model versions are validated against held-out recent data before replacing production models. The validation process compares new model performance to baseline performance on the same held-out data, ensuring that changes improve rather than degrade accuracy. When substantial changes are made to feature engineering logic or model architecture, side-by-side comparisons quantify the impact before deployment.</w:t>
      </w:r>
    </w:p>
    <w:p w14:paraId="4134065E" w14:textId="77777777" w:rsidR="00B45D7C" w:rsidRDefault="00000000">
      <w:r>
        <w:br w:type="page"/>
      </w:r>
    </w:p>
    <w:p w14:paraId="03E515D3" w14:textId="77777777" w:rsidR="00B45D7C" w:rsidRDefault="00000000">
      <w:pPr>
        <w:pStyle w:val="Heading1"/>
      </w:pPr>
      <w:r>
        <w:lastRenderedPageBreak/>
        <w:t>9. Artefacts &amp; Reproducibility</w:t>
      </w:r>
    </w:p>
    <w:p w14:paraId="0682F2AF" w14:textId="77777777" w:rsidR="00B45D7C" w:rsidRDefault="00000000">
      <w:pPr>
        <w:pStyle w:val="Heading2"/>
      </w:pPr>
      <w:r>
        <w:t>9.1 Model Files and Outputs</w:t>
      </w:r>
    </w:p>
    <w:p w14:paraId="68A4CB6F" w14:textId="77777777" w:rsidR="00B45D7C" w:rsidRDefault="00000000">
      <w:pPr>
        <w:spacing w:after="200" w:line="276" w:lineRule="auto"/>
      </w:pPr>
      <w:r>
        <w:t>The Title Scoring App generates a comprehensive set of artefacts that capture both the trained model and all diagnostic information necessary for validation and interpretation. The primary model file, saved as outputs/models/</w:t>
      </w:r>
      <w:proofErr w:type="spellStart"/>
      <w:r>
        <w:t>model_xgb_remount_postcovid.joblib</w:t>
      </w:r>
      <w:proofErr w:type="spellEnd"/>
      <w:r>
        <w:t xml:space="preserve">, contains the serialised </w:t>
      </w:r>
      <w:proofErr w:type="spellStart"/>
      <w:r>
        <w:t>XGBoost</w:t>
      </w:r>
      <w:proofErr w:type="spellEnd"/>
      <w:r>
        <w:t xml:space="preserve"> regressor including all learned tree structures, leaf weights, and model parameters. The </w:t>
      </w:r>
      <w:proofErr w:type="spellStart"/>
      <w:r>
        <w:t>joblib</w:t>
      </w:r>
      <w:proofErr w:type="spellEnd"/>
      <w:r>
        <w:t xml:space="preserve"> serialisation format provides efficient compression and fast loading, making it suitable for production deployment where model loading time affects user experience.</w:t>
      </w:r>
    </w:p>
    <w:p w14:paraId="151D5371" w14:textId="77777777" w:rsidR="00B45D7C" w:rsidRDefault="00000000">
      <w:pPr>
        <w:spacing w:after="200" w:line="276" w:lineRule="auto"/>
      </w:pPr>
      <w:r>
        <w:t>Accompanying the model file, outputs/models/</w:t>
      </w:r>
      <w:proofErr w:type="spellStart"/>
      <w:r>
        <w:t>model_metadata.json</w:t>
      </w:r>
      <w:proofErr w:type="spellEnd"/>
      <w:r>
        <w:t xml:space="preserve"> stores essential metadata in human-readable JSON format. This metadata file includes the complete list of feature names in the exact order expected by the model, ensuring that scoring inputs align correctly with trained expectations. It documents all preprocessing transformations applied during training, such as standardisation parameters for numerical features and encoding mappings for categorical features. The training timestamp and data version identifier allow tracking which historical records informed the model.</w:t>
      </w:r>
    </w:p>
    <w:p w14:paraId="2116E208" w14:textId="77777777" w:rsidR="00B45D7C" w:rsidRDefault="00000000">
      <w:pPr>
        <w:spacing w:after="200" w:line="276" w:lineRule="auto"/>
      </w:pPr>
      <w:r>
        <w:t>SHAP values computed during training reside in results/</w:t>
      </w:r>
      <w:proofErr w:type="spellStart"/>
      <w:r>
        <w:t>shap</w:t>
      </w:r>
      <w:proofErr w:type="spellEnd"/>
      <w:r>
        <w:t>/</w:t>
      </w:r>
      <w:proofErr w:type="spellStart"/>
      <w:r>
        <w:t>shap_values.parquet</w:t>
      </w:r>
      <w:proofErr w:type="spellEnd"/>
      <w:r>
        <w:t xml:space="preserve">, stored in Apache Parquet format for efficient columnar storage and fast filtered queries. Each row in this file corresponds to a production in the training or validation sets, whilst columns represent features. The values themselves are SHAP attributions, showing how each feature contributed to the prediction for that specific production. The Parquet format's built-in compression significantly reduces storage requirements compared to plain CSV whilst maintaining fast access through libraries like pandas or </w:t>
      </w:r>
      <w:proofErr w:type="spellStart"/>
      <w:r>
        <w:t>pyarrow</w:t>
      </w:r>
      <w:proofErr w:type="spellEnd"/>
      <w:r>
        <w:t>.</w:t>
      </w:r>
    </w:p>
    <w:p w14:paraId="05EA076E" w14:textId="77777777" w:rsidR="00B45D7C" w:rsidRDefault="00000000">
      <w:pPr>
        <w:pStyle w:val="Heading2"/>
      </w:pPr>
      <w:r>
        <w:t>9.2 Feature Inventories and Configuration Files</w:t>
      </w:r>
    </w:p>
    <w:p w14:paraId="7E2BB51D" w14:textId="77777777" w:rsidR="00B45D7C" w:rsidRDefault="00000000">
      <w:pPr>
        <w:spacing w:after="200" w:line="276" w:lineRule="auto"/>
      </w:pPr>
      <w:r>
        <w:t xml:space="preserve">Configuration files and inventories document the system's feature space and processing logic, supporting reproducibility and enabling systematic feature management. The file ml_feature_inventory_alberta_ballet.csv maintains a comprehensive inventory of all potential features, including each feature's name, data type (numerical, categorical, </w:t>
      </w:r>
      <w:proofErr w:type="spellStart"/>
      <w:r>
        <w:t>boolean</w:t>
      </w:r>
      <w:proofErr w:type="spellEnd"/>
      <w:r>
        <w:t xml:space="preserve">), source table or computation module, temporal characteristics (static, </w:t>
      </w:r>
      <w:proofErr w:type="gramStart"/>
      <w:r>
        <w:t>slowly-changing</w:t>
      </w:r>
      <w:proofErr w:type="gramEnd"/>
      <w:r>
        <w:t>, time-dependent), and usage status (active, deprecated, experimental). This inventory serves as a central reference for understanding the complete feature space and supports systematic feature lifecycle management.</w:t>
      </w:r>
    </w:p>
    <w:p w14:paraId="6DD0158A" w14:textId="77777777" w:rsidR="00B45D7C" w:rsidRDefault="00000000">
      <w:pPr>
        <w:spacing w:after="200" w:line="276" w:lineRule="auto"/>
      </w:pPr>
      <w:r>
        <w:t>The leakage audit file, ml_leakage_audit_alberta_ballet.csv, documents temporal dependencies and leakage risk for each feature. For every feature used in training, this file specifies what information is required to compute it, which temporal constraints must be respected, whether the feature is approved for training or flagged for exclusion, and any special handling required during cross-validation. This explicit documentation prevents inadvertent inclusion of leak-prone features and provides a checklist for validating new feature proposals.</w:t>
      </w:r>
    </w:p>
    <w:p w14:paraId="62D740A6" w14:textId="77777777" w:rsidR="00B45D7C" w:rsidRDefault="00000000">
      <w:pPr>
        <w:spacing w:after="200" w:line="276" w:lineRule="auto"/>
      </w:pPr>
      <w:r>
        <w:lastRenderedPageBreak/>
        <w:t xml:space="preserve">Join key specifications in ml_join_keys_alberta_ballet.csv define how different data sources integrate. This file lists each join operation required during dataset construction, specifying the left and right tables, join keys and their types, join methodology (inner, left, etc.), and expected cardinality (one-to-one, one-to-many). Documenting joins explicitly prevents subtle errors where incorrect merge logic corrupts the training </w:t>
      </w:r>
      <w:proofErr w:type="gramStart"/>
      <w:r>
        <w:t>dataset, and</w:t>
      </w:r>
      <w:proofErr w:type="gramEnd"/>
      <w:r>
        <w:t xml:space="preserve"> supports systematic validation that merge operations produce expected record counts and preserve data integrity.</w:t>
      </w:r>
    </w:p>
    <w:p w14:paraId="76D80155" w14:textId="77777777" w:rsidR="00B45D7C" w:rsidRDefault="00000000">
      <w:pPr>
        <w:pStyle w:val="Heading2"/>
      </w:pPr>
      <w:r>
        <w:t>9.3 Reproducing Model Training</w:t>
      </w:r>
    </w:p>
    <w:p w14:paraId="57B822B2" w14:textId="77777777" w:rsidR="00B45D7C" w:rsidRDefault="00000000">
      <w:pPr>
        <w:spacing w:after="200" w:line="276" w:lineRule="auto"/>
      </w:pPr>
      <w:r>
        <w:t>Complete reproducibility requires not just preserved artefacts but also clear procedures for regenerating those artefacts from source data. The Alberta Ballet system provides command-line scripts that orchestrate the full training pipeline, accepting parameters that control all significant decisions. A user with access to the source data and code repository can reproduce any historical model version by following documented procedures.</w:t>
      </w:r>
    </w:p>
    <w:p w14:paraId="4E17FA6E" w14:textId="77777777" w:rsidR="00B45D7C" w:rsidRDefault="00000000">
      <w:pPr>
        <w:spacing w:after="200" w:line="276" w:lineRule="auto"/>
      </w:pPr>
      <w:r>
        <w:t>The first step in reproduction involves constructing the modelling dataset. The script scripts/build_modelling_dataset.py reads raw data files from their designated directories, applies normalisation and cleaning transformations, performs the join operations specified in join key configuration files, computes engineered features according to feature definitions, applies temporal filtering to prevent leakage, and writes the unified modelling dataset to a specified output location. Running this script with default parameters produces the standard dataset used for training, whilst command-line flags allow customisation of data sources, date ranges, and feature selections for experimental variants.</w:t>
      </w:r>
    </w:p>
    <w:p w14:paraId="08EF19CB" w14:textId="77777777" w:rsidR="00B45D7C" w:rsidRDefault="00000000">
      <w:pPr>
        <w:spacing w:after="200" w:line="276" w:lineRule="auto"/>
      </w:pPr>
      <w:r>
        <w:t>With the modelling dataset prepared, model training proceeds through scripts/train_safe_model.py. This script accepts several important command-line arguments that control training behaviour. The --tune flag enables hyperparameter optimisation, exploring predefined ranges for learning rate, tree depth, and regularisation parameters. The --save-</w:t>
      </w:r>
      <w:proofErr w:type="spellStart"/>
      <w:r>
        <w:t>shap</w:t>
      </w:r>
      <w:proofErr w:type="spellEnd"/>
      <w:r>
        <w:t xml:space="preserve"> flag triggers computation and storage of SHAP values for explainability analysis. The --</w:t>
      </w:r>
      <w:proofErr w:type="spellStart"/>
      <w:r>
        <w:t>date_column</w:t>
      </w:r>
      <w:proofErr w:type="spellEnd"/>
      <w:r>
        <w:t xml:space="preserve"> argument specifies the temporal ordering column for time-aware cross-validation, with the system raising errors if this crucial parameter is omitted.</w:t>
      </w:r>
    </w:p>
    <w:p w14:paraId="57BD2D54" w14:textId="77777777" w:rsidR="00B45D7C" w:rsidRDefault="00000000">
      <w:pPr>
        <w:pStyle w:val="Heading2"/>
      </w:pPr>
      <w:r>
        <w:t>9.4 Dependency Management</w:t>
      </w:r>
    </w:p>
    <w:p w14:paraId="0F80CC48" w14:textId="77777777" w:rsidR="00B45D7C" w:rsidRDefault="00000000">
      <w:pPr>
        <w:spacing w:after="200" w:line="276" w:lineRule="auto"/>
      </w:pPr>
      <w:r>
        <w:t xml:space="preserve">Reproducibility extends to the software environment, requiring careful management of Python package versions and system dependencies. The repository includes a requirements.txt file listing all Python packages required for training and inference, along with version constraints that ensure compatibility. Critical packages include specific versions or version ranges: </w:t>
      </w:r>
      <w:proofErr w:type="spellStart"/>
      <w:r>
        <w:t>xgboost</w:t>
      </w:r>
      <w:proofErr w:type="spellEnd"/>
      <w:r>
        <w:t xml:space="preserve">&gt;=1.7.0 provides the core modelling algorithm, pandas&gt;=2.0.0 handles data manipulation, </w:t>
      </w:r>
      <w:proofErr w:type="spellStart"/>
      <w:r>
        <w:t>numpy</w:t>
      </w:r>
      <w:proofErr w:type="spellEnd"/>
      <w:r>
        <w:t xml:space="preserve">&gt;=1.24.0 supports numerical computations, scikit-learn&gt;=1.3.0 supplies preprocessing utilities, </w:t>
      </w:r>
      <w:proofErr w:type="spellStart"/>
      <w:r>
        <w:t>shap</w:t>
      </w:r>
      <w:proofErr w:type="spellEnd"/>
      <w:r>
        <w:t xml:space="preserve">&gt;=0.43.0 enables explainability analysis, </w:t>
      </w:r>
      <w:proofErr w:type="spellStart"/>
      <w:r>
        <w:t>pyarrow</w:t>
      </w:r>
      <w:proofErr w:type="spellEnd"/>
      <w:r>
        <w:t xml:space="preserve">&gt;=13.0.0 provides efficient Parquet support, and </w:t>
      </w:r>
      <w:proofErr w:type="spellStart"/>
      <w:r>
        <w:t>joblib</w:t>
      </w:r>
      <w:proofErr w:type="spellEnd"/>
      <w:r>
        <w:t>&gt;=1.3.0 handles model serialisation.</w:t>
      </w:r>
    </w:p>
    <w:p w14:paraId="5B2994AF" w14:textId="77777777" w:rsidR="00B45D7C" w:rsidRDefault="00000000">
      <w:pPr>
        <w:spacing w:after="200" w:line="276" w:lineRule="auto"/>
      </w:pPr>
      <w:r>
        <w:t xml:space="preserve">Version constraints strike a balance between stability and flexibility. Lower bounds ensure that required functionality and bug fixes are available, whilst avoiding overly restrictive </w:t>
      </w:r>
      <w:r>
        <w:lastRenderedPageBreak/>
        <w:t>upper bounds that would prevent using newer compatible versions. For complete environment reproducibility, a lock file generated via pip freeze &gt; requirements.lock.txt captures the exact versions of all packages and their dependencies installed in a working environment.</w:t>
      </w:r>
    </w:p>
    <w:p w14:paraId="6539F60F" w14:textId="77777777" w:rsidR="00B45D7C" w:rsidRDefault="00000000">
      <w:r>
        <w:br w:type="page"/>
      </w:r>
    </w:p>
    <w:p w14:paraId="7BA17A48" w14:textId="77777777" w:rsidR="00B45D7C" w:rsidRDefault="00000000">
      <w:pPr>
        <w:pStyle w:val="Heading1"/>
      </w:pPr>
      <w:r>
        <w:lastRenderedPageBreak/>
        <w:t>10. What the App Does and Does Not Do</w:t>
      </w:r>
    </w:p>
    <w:p w14:paraId="7CDD1E61" w14:textId="77777777" w:rsidR="00B45D7C" w:rsidRDefault="00000000">
      <w:pPr>
        <w:pStyle w:val="Heading2"/>
      </w:pPr>
      <w:r>
        <w:t>10.1 Core Capabilities</w:t>
      </w:r>
    </w:p>
    <w:p w14:paraId="49E3639A" w14:textId="77777777" w:rsidR="00B45D7C" w:rsidRDefault="00000000">
      <w:pPr>
        <w:spacing w:after="200" w:line="276" w:lineRule="auto"/>
      </w:pPr>
      <w:r>
        <w:t>The Alberta Ballet Title Scoring App provides a focused set of capabilities designed to support artistic programming and season planning decisions. At its core, the app forecasts expected audience interest for proposed or returning ballet productions, measured in ticket sales. This forecasting capability operates before productions are launched, using historical performance data when available and supplementing with economic indicators, seasonality features, and online engagement signals when historical precedent is limited or absent.</w:t>
      </w:r>
    </w:p>
    <w:p w14:paraId="3370E83B" w14:textId="77777777" w:rsidR="00B45D7C" w:rsidRDefault="00000000">
      <w:pPr>
        <w:spacing w:after="200" w:line="276" w:lineRule="auto"/>
      </w:pPr>
      <w:r>
        <w:t>The system handles both remounts of previously performed titles and new works without historical precedent, though with different levels of confidence. For remounts, the app leverages detailed historical priors including total tickets sold across all past runs, median performance levels that capture typical outcomes, and patterns in how performance changes with remount timing. For new works, the system relies more heavily on genre baselines, economic context, buzz signals from online platforms, and comparisons to similar productions.</w:t>
      </w:r>
    </w:p>
    <w:p w14:paraId="0D89FEBF" w14:textId="77777777" w:rsidR="00B45D7C" w:rsidRDefault="00000000">
      <w:pPr>
        <w:spacing w:after="200" w:line="276" w:lineRule="auto"/>
      </w:pPr>
      <w:r>
        <w:t>Quantitative scoring provides a common currency for comparing diverse programming options. A programmer considering multiple titles for a December slot can generate forecasts for each candidate, comparing predicted demand alongside artistic merits and practical constraints. The scores facilitate portfolio-level planning by revealing whether a proposed season balances blockbuster draws with artistic risk-taking, or whether it leans too heavily in either direction.</w:t>
      </w:r>
    </w:p>
    <w:p w14:paraId="01FE9AAA" w14:textId="77777777" w:rsidR="00B45D7C" w:rsidRDefault="00000000">
      <w:pPr>
        <w:pStyle w:val="Heading2"/>
      </w:pPr>
      <w:r>
        <w:t>10.2 Explicit Limitations and Boundaries</w:t>
      </w:r>
    </w:p>
    <w:p w14:paraId="1F8024DB" w14:textId="77777777" w:rsidR="00B45D7C" w:rsidRDefault="00000000">
      <w:pPr>
        <w:spacing w:after="200" w:line="276" w:lineRule="auto"/>
      </w:pPr>
      <w:r>
        <w:t xml:space="preserve">Understanding what the system does not do is crucial for appropriate use. The app predicts ticket volume, not revenue. It does not account for pricing strategies that might charge premium prices for </w:t>
      </w:r>
      <w:proofErr w:type="gramStart"/>
      <w:r>
        <w:t>high-demand</w:t>
      </w:r>
      <w:proofErr w:type="gramEnd"/>
      <w:r>
        <w:t xml:space="preserve"> shows or discounted prices to fill seats for experimental works. Complimentary tickets, group sales discounts, and subscription package structures all affect revenue without necessarily affecting attendance, and these financial nuances lie outside the model's scope.</w:t>
      </w:r>
    </w:p>
    <w:p w14:paraId="1212A8C6" w14:textId="77777777" w:rsidR="00B45D7C" w:rsidRDefault="00000000">
      <w:pPr>
        <w:spacing w:after="200" w:line="276" w:lineRule="auto"/>
      </w:pPr>
      <w:r>
        <w:t>Marketing effectiveness after a show is announced remains unmodelled. The system cannot predict how a well-executed marketing campaign might boost sales beyond baseline expectations, nor can it account for marketing failures that underdeliver on initial promise. Pre-existing online buzz signals enter the model, but post-announcement marketing spend and campaign creativity do not. This limitation means that predictions should be interpreted as baseline expectations assuming typical marketing efforts, not as forecasts conditional on specific marketing strategies.</w:t>
      </w:r>
    </w:p>
    <w:p w14:paraId="70E17BC9" w14:textId="77777777" w:rsidR="00B45D7C" w:rsidRDefault="00000000">
      <w:pPr>
        <w:spacing w:after="200" w:line="276" w:lineRule="auto"/>
      </w:pPr>
      <w:r>
        <w:t xml:space="preserve">Real-time dynamic updates do not occur in the current implementation. Model retraining requires explicit invocation of training scripts, either manually or through scheduled jobs. New ticket sales data does not automatically flow into the model to refine predictions. </w:t>
      </w:r>
      <w:r>
        <w:lastRenderedPageBreak/>
        <w:t xml:space="preserve">Similarly, changed economic conditions or viral buzz spikes do not trigger automatic forecast updates. This batch-oriented approach suits season planning cycles occurring months in </w:t>
      </w:r>
      <w:proofErr w:type="gramStart"/>
      <w:r>
        <w:t>advance, but</w:t>
      </w:r>
      <w:proofErr w:type="gramEnd"/>
      <w:r>
        <w:t xml:space="preserve"> would not support dynamic pricing or real-time inventory optimisation scenarios.</w:t>
      </w:r>
    </w:p>
    <w:p w14:paraId="1556AF48" w14:textId="77777777" w:rsidR="00B45D7C" w:rsidRDefault="00000000">
      <w:pPr>
        <w:pStyle w:val="Heading2"/>
      </w:pPr>
      <w:r>
        <w:t>10.3 Appropriate Use Cases</w:t>
      </w:r>
    </w:p>
    <w:p w14:paraId="398F07CB" w14:textId="77777777" w:rsidR="00B45D7C" w:rsidRDefault="00000000">
      <w:pPr>
        <w:spacing w:after="200" w:line="276" w:lineRule="auto"/>
      </w:pPr>
      <w:r>
        <w:t>The system excels in several specific decision contexts where quantitative demand forecasts provide valuable input. Season planning benefits from comparing forecasted demand across candidate titles, identifying which combinations of productions balance artistic goals with financial sustainability. A planning committee might shortlist ten potential titles for five available slots, generate forecasts for each, and use those forecasts alongside artistic considerations to construct a diverse season that meets attendance targets.</w:t>
      </w:r>
    </w:p>
    <w:p w14:paraId="3F2AB7C9" w14:textId="77777777" w:rsidR="00B45D7C" w:rsidRDefault="00000000">
      <w:pPr>
        <w:spacing w:after="200" w:line="276" w:lineRule="auto"/>
      </w:pPr>
      <w:r>
        <w:t>Remount timing decisions represent another strong use case. When considering whether to bring back a popular production, the model forecasts how audience fatigue from recent performances might depress demand. A title last performed three years ago might forecast strong continued interest, whilst the same title remounted after only 18 months might show predicted audience fatigue. This quantitative perspective informs discussions about spacing remounts to maximise long-term value.</w:t>
      </w:r>
    </w:p>
    <w:p w14:paraId="64D966F8" w14:textId="77777777" w:rsidR="00B45D7C" w:rsidRDefault="00000000">
      <w:pPr>
        <w:spacing w:after="200" w:line="276" w:lineRule="auto"/>
      </w:pPr>
      <w:r>
        <w:t>Economic scenario modelling allows stress-testing season plans against adverse conditions. By adjusting economic indicator features to reflect recession scenarios or energy price shocks, planners can estimate how their proposed season might perform under different macro conditions. This sensitivity analysis identifies seasons heavily dependent on continued economic growth versus more robust seasons that maintain appeal across economic cycles.</w:t>
      </w:r>
    </w:p>
    <w:p w14:paraId="035026D7" w14:textId="77777777" w:rsidR="00B45D7C" w:rsidRDefault="00000000">
      <w:pPr>
        <w:pStyle w:val="Heading2"/>
      </w:pPr>
      <w:r>
        <w:t>10.4 Critical Assumptions</w:t>
      </w:r>
    </w:p>
    <w:p w14:paraId="34EECB6A" w14:textId="77777777" w:rsidR="00B45D7C" w:rsidRDefault="00000000">
      <w:pPr>
        <w:spacing w:after="200" w:line="276" w:lineRule="auto"/>
      </w:pPr>
      <w:r>
        <w:t>All forecasts rest on assumptions that users must understand to interpret results appropriately. The model assumes that venue capacity and scheduling feasibility are handled elsewhere. A forecast of 15,000 tickets means nothing if the venue holds only 500 seats per performance and only ten performances are scheduled. Users must independently verify that predicted demand can be accommodated given venue and calendar realities.</w:t>
      </w:r>
    </w:p>
    <w:p w14:paraId="47FE7C06" w14:textId="77777777" w:rsidR="00B45D7C" w:rsidRDefault="00000000">
      <w:pPr>
        <w:spacing w:after="200" w:line="276" w:lineRule="auto"/>
      </w:pPr>
      <w:r>
        <w:t>Economic context is assumed to remain within the range observed in training data. The model has learned relationships between economic indicators and ticket sales from historical periods that might not include extreme conditions like severe recessions or unprecedented inflation. Extrapolating predictions to economic conditions far outside the training distribution introduces substantial uncertainty.</w:t>
      </w:r>
    </w:p>
    <w:p w14:paraId="08E8CCD9" w14:textId="77777777" w:rsidR="00B45D7C" w:rsidRDefault="00000000">
      <w:pPr>
        <w:spacing w:after="200" w:line="276" w:lineRule="auto"/>
      </w:pPr>
      <w:r>
        <w:t>Predictions are strongest when productions have historical precedent and when current buzz and economic signals are available and recent. Cold-start scenarios with no historical data rely entirely on weak genre baselines and buzz signals, inherently carrying higher uncertainty. Users should calibrate their confidence in predictions based on how much strong evidence was available to the model, not treating all predictions as equally reliable.</w:t>
      </w:r>
    </w:p>
    <w:p w14:paraId="66074C10" w14:textId="77777777" w:rsidR="00B45D7C" w:rsidRDefault="00000000">
      <w:r>
        <w:lastRenderedPageBreak/>
        <w:br w:type="page"/>
      </w:r>
    </w:p>
    <w:p w14:paraId="40FDFA99" w14:textId="77777777" w:rsidR="00B45D7C" w:rsidRDefault="00000000">
      <w:pPr>
        <w:pStyle w:val="Heading1"/>
      </w:pPr>
      <w:r>
        <w:lastRenderedPageBreak/>
        <w:t>11. Roadmap &amp; Recommendations</w:t>
      </w:r>
    </w:p>
    <w:p w14:paraId="6A8391ED" w14:textId="77777777" w:rsidR="00B45D7C" w:rsidRDefault="00000000">
      <w:pPr>
        <w:pStyle w:val="Heading2"/>
      </w:pPr>
      <w:r>
        <w:t>11.1 Technical Enhancements</w:t>
      </w:r>
    </w:p>
    <w:p w14:paraId="548222D6" w14:textId="77777777" w:rsidR="00B45D7C" w:rsidRDefault="00000000">
      <w:pPr>
        <w:spacing w:after="200" w:line="276" w:lineRule="auto"/>
      </w:pPr>
      <w:r>
        <w:t xml:space="preserve">Several technical improvements would strengthen the model's accuracy, flexibility, and robustness. </w:t>
      </w:r>
      <w:proofErr w:type="gramStart"/>
      <w:r>
        <w:t>Cold-start</w:t>
      </w:r>
      <w:proofErr w:type="gramEnd"/>
      <w:r>
        <w:t xml:space="preserve"> handling currently relies on genre baselines and buzz </w:t>
      </w:r>
      <w:proofErr w:type="gramStart"/>
      <w:r>
        <w:t>signals, but</w:t>
      </w:r>
      <w:proofErr w:type="gramEnd"/>
      <w:r>
        <w:t xml:space="preserve"> could be enhanced through a dedicated fallback model. This specialised model would be trained specifically on new productions without historical precedent, using only features available for debuts: choreographer or company reputation metrics, critic reviews of other works by the same creator, regional audience demographics and cultural preferences, venue characteristics and typical attendance patterns, and comparable productions from other companies.</w:t>
      </w:r>
    </w:p>
    <w:p w14:paraId="1F7F619B" w14:textId="77777777" w:rsidR="00B45D7C" w:rsidRDefault="00000000">
      <w:pPr>
        <w:spacing w:after="200" w:line="276" w:lineRule="auto"/>
      </w:pPr>
      <w:r>
        <w:t>Quantile regression or conformal prediction would add uncertainty quantification to point predictions. Currently, the system predicts a single ticket count without explicit confidence intervals. Quantile regression could train models to predict the 10th, 50th, and 90th percentiles of the conditional distribution, providing natural prediction intervals. For example, a forecast might state "expected sales of 5,000 tickets, with 80% confidence that actual sales will fall between 4,000 and 6,500 tickets." These intervals would appropriately widen for uncertain predictions and narrow for confident ones.</w:t>
      </w:r>
    </w:p>
    <w:p w14:paraId="74D0466E" w14:textId="77777777" w:rsidR="00B45D7C" w:rsidRDefault="00000000">
      <w:pPr>
        <w:spacing w:after="200" w:line="276" w:lineRule="auto"/>
      </w:pPr>
      <w:r>
        <w:t>Feature selection audits would identify and remove redundant or marginally useful features. The current feature set includes several highly correlated economic indicators that provide overlapping information. Systematic feature selection using methods like recursive feature elimination or LASSO regularisation could identify a smaller feature set achieving similar performance with reduced complexity. Simpler models train faster, are easier to interpret, and generalise better to new data.</w:t>
      </w:r>
    </w:p>
    <w:p w14:paraId="752AE2F8" w14:textId="77777777" w:rsidR="00B45D7C" w:rsidRDefault="00000000">
      <w:pPr>
        <w:pStyle w:val="Heading2"/>
      </w:pPr>
      <w:r>
        <w:t>11.2 Operational Enhancements</w:t>
      </w:r>
    </w:p>
    <w:p w14:paraId="09522B6C" w14:textId="77777777" w:rsidR="00B45D7C" w:rsidRDefault="00000000">
      <w:pPr>
        <w:spacing w:after="200" w:line="276" w:lineRule="auto"/>
      </w:pPr>
      <w:r>
        <w:t xml:space="preserve">Beyond technical model improvements, operational enhancements would improve usability and integration into planning workflows. An executive dashboard built with </w:t>
      </w:r>
      <w:proofErr w:type="spellStart"/>
      <w:r>
        <w:t>Streamlit</w:t>
      </w:r>
      <w:proofErr w:type="spellEnd"/>
      <w:r>
        <w:t>, Dash, or similar frameworks would provide an interactive interface for generating and exploring forecasts. Users could select titles from dropdown menus, adjust opening dates and venues through calendar widgets, view predictions updating in real-time as parameters change, compare multiple scenarios side-by-side, and export results to Excel or PDF formats.</w:t>
      </w:r>
    </w:p>
    <w:p w14:paraId="3058944B" w14:textId="77777777" w:rsidR="00B45D7C" w:rsidRDefault="00000000">
      <w:pPr>
        <w:spacing w:after="200" w:line="276" w:lineRule="auto"/>
      </w:pPr>
      <w:r>
        <w:t>Automated prediction reports could generate on schedule or on demand. As new productions are announced or new data becomes available, the system could automatically generate forecast reports and distribute them to relevant stakeholders via email. A monthly report might summarise predictions for all upcoming productions, flag significant changes from previous forecasts, and highlight where additional data collection would reduce uncertainty.</w:t>
      </w:r>
    </w:p>
    <w:p w14:paraId="513DD4B7" w14:textId="77777777" w:rsidR="00B45D7C" w:rsidRDefault="00000000">
      <w:pPr>
        <w:spacing w:after="200" w:line="276" w:lineRule="auto"/>
      </w:pPr>
      <w:r>
        <w:t xml:space="preserve">Integration with CRM (Customer Relationship Management) and ticketing systems would create feedback loops that improve predictions over time. As actual sales data flows in for current productions, automated processes could compare predictions to actuals, update performance metrics, retrain models incorporating the new data, and adjust future forecasts </w:t>
      </w:r>
      <w:r>
        <w:lastRenderedPageBreak/>
        <w:t>based on learned patterns. This continuous learning cycle would gradually improve accuracy as more data accumulates.</w:t>
      </w:r>
    </w:p>
    <w:p w14:paraId="4C1657A8" w14:textId="77777777" w:rsidR="00B45D7C" w:rsidRDefault="00000000">
      <w:pPr>
        <w:pStyle w:val="Heading2"/>
      </w:pPr>
      <w:r>
        <w:t>11.3 Strategic Research Opportunities</w:t>
      </w:r>
    </w:p>
    <w:p w14:paraId="102DA672" w14:textId="77777777" w:rsidR="00B45D7C" w:rsidRDefault="00000000">
      <w:pPr>
        <w:spacing w:after="200" w:line="276" w:lineRule="auto"/>
      </w:pPr>
      <w:r>
        <w:t xml:space="preserve">Several research directions could extend the system's capabilities into new domains or improve understanding of underlying demand dynamics. Audience segmentation modelling would disaggregate predictions by patron type. Rather than forecasting total tickets, separate models could predict subscribers versus single-ticket buyers, tourists versus </w:t>
      </w:r>
      <w:proofErr w:type="gramStart"/>
      <w:r>
        <w:t>local residents</w:t>
      </w:r>
      <w:proofErr w:type="gramEnd"/>
      <w:r>
        <w:t>, or family groups versus individual adults. Understanding which audience segments drive demand for different production types would enable more targeted programming and marketing strategies.</w:t>
      </w:r>
    </w:p>
    <w:p w14:paraId="425711CB" w14:textId="77777777" w:rsidR="00B45D7C" w:rsidRDefault="00000000">
      <w:pPr>
        <w:spacing w:after="200" w:line="276" w:lineRule="auto"/>
      </w:pPr>
      <w:r>
        <w:t>Causal inference methodologies could identify what factors genuinely drive ticket sales rather than merely correlating with outcomes. Techniques like difference-in-differences analysis, instrumental variables, or causal forests could estimate the causal impact of specific changes such as shifting opening dates, increasing marketing spend, or partnering with community organisations. Causal understanding would support more effective interventions to boost underperforming productions or enhance successful ones.</w:t>
      </w:r>
    </w:p>
    <w:p w14:paraId="2152834C" w14:textId="77777777" w:rsidR="00B45D7C" w:rsidRDefault="00000000">
      <w:pPr>
        <w:spacing w:after="200" w:line="276" w:lineRule="auto"/>
      </w:pPr>
      <w:r>
        <w:t xml:space="preserve">Price elasticity modelling could extend ticket volume predictions into revenue forecasts by estimating how demand responds to price changes. Training data might include periods with varying pricing strategies, allowing estimation of how many additional tickets would sell at lower prices or how much revenue would increase from premium pricing on </w:t>
      </w:r>
      <w:proofErr w:type="gramStart"/>
      <w:r>
        <w:t>high-demand</w:t>
      </w:r>
      <w:proofErr w:type="gramEnd"/>
      <w:r>
        <w:t xml:space="preserve"> shows. These elasticity estimates would enable revenue optimisation strategies that go beyond maximising attendance.</w:t>
      </w:r>
    </w:p>
    <w:p w14:paraId="7583B952" w14:textId="77777777" w:rsidR="00B45D7C" w:rsidRDefault="00000000">
      <w:r>
        <w:br w:type="page"/>
      </w:r>
    </w:p>
    <w:p w14:paraId="59698044" w14:textId="77777777" w:rsidR="00B45D7C" w:rsidRDefault="00000000">
      <w:pPr>
        <w:pStyle w:val="Heading1"/>
      </w:pPr>
      <w:r>
        <w:lastRenderedPageBreak/>
        <w:t>Appendix A: Complete Mathematical Definitions</w:t>
      </w:r>
    </w:p>
    <w:p w14:paraId="3F6A85BF" w14:textId="77777777" w:rsidR="00B45D7C" w:rsidRDefault="00000000">
      <w:pPr>
        <w:spacing w:after="200" w:line="276" w:lineRule="auto"/>
      </w:pPr>
      <w:r>
        <w:t xml:space="preserve">This appendix provides formal mathematical definitions for all feature transformations referenced throughout the report. The target variable undergoes logarithmic transformation before training: y = </w:t>
      </w:r>
      <w:proofErr w:type="gramStart"/>
      <w:r>
        <w:t>log(</w:t>
      </w:r>
      <w:proofErr w:type="gramEnd"/>
      <w:r>
        <w:t xml:space="preserve">1 + </w:t>
      </w:r>
      <w:proofErr w:type="gramStart"/>
      <w:r>
        <w:t>max(</w:t>
      </w:r>
      <w:proofErr w:type="spellStart"/>
      <w:proofErr w:type="gramEnd"/>
      <w:r>
        <w:t>median_tickets</w:t>
      </w:r>
      <w:proofErr w:type="spellEnd"/>
      <w:r>
        <w:t xml:space="preserve">, 0)). The addition of one </w:t>
      </w:r>
      <w:proofErr w:type="gramStart"/>
      <w:r>
        <w:t>handles</w:t>
      </w:r>
      <w:proofErr w:type="gramEnd"/>
      <w:r>
        <w:t xml:space="preserve"> zero values, whilst the max operation ensures non-negativity. The inverse transformation recovers interpretable ticket counts: </w:t>
      </w:r>
      <w:proofErr w:type="spellStart"/>
      <w:r>
        <w:t>ŷ_tickets</w:t>
      </w:r>
      <w:proofErr w:type="spellEnd"/>
      <w:r>
        <w:t xml:space="preserve"> = exp(ŷ) - 1.</w:t>
      </w:r>
    </w:p>
    <w:p w14:paraId="7499D071" w14:textId="77777777" w:rsidR="00B45D7C" w:rsidRDefault="00000000">
      <w:pPr>
        <w:spacing w:after="200" w:line="276" w:lineRule="auto"/>
      </w:pPr>
      <w:r>
        <w:t xml:space="preserve">Historical prior features aggregate past performance. The total prior tickets </w:t>
      </w:r>
      <w:proofErr w:type="gramStart"/>
      <w:r>
        <w:t>sums</w:t>
      </w:r>
      <w:proofErr w:type="gramEnd"/>
      <w:r>
        <w:t xml:space="preserve"> all previous runs: </w:t>
      </w:r>
      <w:proofErr w:type="spellStart"/>
      <w:r>
        <w:t>x_prior_total</w:t>
      </w:r>
      <w:proofErr w:type="spellEnd"/>
      <w:r>
        <w:t xml:space="preserve"> = Σ </w:t>
      </w:r>
      <w:proofErr w:type="spellStart"/>
      <w:r>
        <w:t>tickets_i</w:t>
      </w:r>
      <w:proofErr w:type="spellEnd"/>
      <w:r>
        <w:t xml:space="preserve"> where </w:t>
      </w:r>
      <w:proofErr w:type="spellStart"/>
      <w:r>
        <w:t>date_i</w:t>
      </w:r>
      <w:proofErr w:type="spellEnd"/>
      <w:r>
        <w:t xml:space="preserve"> &lt; </w:t>
      </w:r>
      <w:proofErr w:type="spellStart"/>
      <w:r>
        <w:t>opening_date</w:t>
      </w:r>
      <w:proofErr w:type="spellEnd"/>
      <w:r>
        <w:t xml:space="preserve">. The median prior captures typical performance: </w:t>
      </w:r>
      <w:proofErr w:type="spellStart"/>
      <w:r>
        <w:t>x_ticket_median_prior</w:t>
      </w:r>
      <w:proofErr w:type="spellEnd"/>
      <w:r>
        <w:t xml:space="preserve"> = </w:t>
      </w:r>
      <w:proofErr w:type="gramStart"/>
      <w:r>
        <w:t>median(</w:t>
      </w:r>
      <w:proofErr w:type="gramEnd"/>
      <w:r>
        <w:t>{</w:t>
      </w:r>
      <w:proofErr w:type="spellStart"/>
      <w:r>
        <w:t>tickets_</w:t>
      </w:r>
      <w:proofErr w:type="gramStart"/>
      <w:r>
        <w:t>i</w:t>
      </w:r>
      <w:proofErr w:type="spellEnd"/>
      <w:r>
        <w:t xml:space="preserve"> :</w:t>
      </w:r>
      <w:proofErr w:type="gramEnd"/>
      <w:r>
        <w:t xml:space="preserve"> </w:t>
      </w:r>
      <w:proofErr w:type="spellStart"/>
      <w:r>
        <w:t>date_i</w:t>
      </w:r>
      <w:proofErr w:type="spellEnd"/>
      <w:r>
        <w:t xml:space="preserve"> &lt; </w:t>
      </w:r>
      <w:proofErr w:type="spellStart"/>
      <w:r>
        <w:t>opening_date</w:t>
      </w:r>
      <w:proofErr w:type="spellEnd"/>
      <w:r>
        <w:t xml:space="preserve">}). The prior run count simply counts previous performances: </w:t>
      </w:r>
      <w:proofErr w:type="spellStart"/>
      <w:r>
        <w:t>x_run_count</w:t>
      </w:r>
      <w:proofErr w:type="spellEnd"/>
      <w:r>
        <w:t xml:space="preserve"> = </w:t>
      </w:r>
      <w:proofErr w:type="gramStart"/>
      <w:r>
        <w:t>|{</w:t>
      </w:r>
      <w:proofErr w:type="spellStart"/>
      <w:r>
        <w:t>i</w:t>
      </w:r>
      <w:proofErr w:type="spellEnd"/>
      <w:r>
        <w:t xml:space="preserve"> :</w:t>
      </w:r>
      <w:proofErr w:type="gramEnd"/>
      <w:r>
        <w:t xml:space="preserve"> </w:t>
      </w:r>
      <w:proofErr w:type="spellStart"/>
      <w:r>
        <w:t>date_i</w:t>
      </w:r>
      <w:proofErr w:type="spellEnd"/>
      <w:r>
        <w:t xml:space="preserve"> &lt; </w:t>
      </w:r>
      <w:proofErr w:type="spellStart"/>
      <w:r>
        <w:t>opening_</w:t>
      </w:r>
      <w:proofErr w:type="gramStart"/>
      <w:r>
        <w:t>date</w:t>
      </w:r>
      <w:proofErr w:type="spellEnd"/>
      <w:r>
        <w:t>}|</w:t>
      </w:r>
      <w:proofErr w:type="gramEnd"/>
      <w:r>
        <w:t>.</w:t>
      </w:r>
    </w:p>
    <w:p w14:paraId="4BDE7A02" w14:textId="77777777" w:rsidR="00B45D7C" w:rsidRDefault="00000000">
      <w:pPr>
        <w:spacing w:after="200" w:line="276" w:lineRule="auto"/>
      </w:pPr>
      <w:r>
        <w:t xml:space="preserve">Remount timing features quantify how long since the last performance: </w:t>
      </w:r>
      <w:proofErr w:type="spellStart"/>
      <w:r>
        <w:t>x_years_since</w:t>
      </w:r>
      <w:proofErr w:type="spellEnd"/>
      <w:r>
        <w:t xml:space="preserve"> = year(</w:t>
      </w:r>
      <w:proofErr w:type="spellStart"/>
      <w:r>
        <w:t>opening_date</w:t>
      </w:r>
      <w:proofErr w:type="spellEnd"/>
      <w:r>
        <w:t xml:space="preserve">) - </w:t>
      </w:r>
      <w:proofErr w:type="spellStart"/>
      <w:r>
        <w:t>max_i</w:t>
      </w:r>
      <w:proofErr w:type="spellEnd"/>
      <w:r>
        <w:t xml:space="preserve"> year(</w:t>
      </w:r>
      <w:proofErr w:type="spellStart"/>
      <w:r>
        <w:t>date_i</w:t>
      </w:r>
      <w:proofErr w:type="spellEnd"/>
      <w:r>
        <w:t xml:space="preserve">). Boolean remount indicators </w:t>
      </w:r>
      <w:proofErr w:type="spellStart"/>
      <w:r>
        <w:t>discretise</w:t>
      </w:r>
      <w:proofErr w:type="spellEnd"/>
      <w:r>
        <w:t xml:space="preserve"> this temporal gap: </w:t>
      </w:r>
      <w:proofErr w:type="spellStart"/>
      <w:r>
        <w:t>x_is_remount_recent</w:t>
      </w:r>
      <w:proofErr w:type="spellEnd"/>
      <w:r>
        <w:t xml:space="preserve"> = 𝟙{</w:t>
      </w:r>
      <w:proofErr w:type="spellStart"/>
      <w:r>
        <w:t>x_years_since</w:t>
      </w:r>
      <w:proofErr w:type="spellEnd"/>
      <w:r>
        <w:t xml:space="preserve"> ≤ 5} and </w:t>
      </w:r>
      <w:proofErr w:type="spellStart"/>
      <w:r>
        <w:t>x_is_remount_medium</w:t>
      </w:r>
      <w:proofErr w:type="spellEnd"/>
      <w:r>
        <w:t xml:space="preserve"> = 𝟙{2 &lt; </w:t>
      </w:r>
      <w:proofErr w:type="spellStart"/>
      <w:r>
        <w:t>x_years_since</w:t>
      </w:r>
      <w:proofErr w:type="spellEnd"/>
      <w:r>
        <w:t xml:space="preserve"> ≤ 5}.</w:t>
      </w:r>
    </w:p>
    <w:p w14:paraId="30FB7B6A" w14:textId="77777777" w:rsidR="00B45D7C" w:rsidRDefault="00000000">
      <w:pPr>
        <w:spacing w:after="200" w:line="276" w:lineRule="auto"/>
      </w:pPr>
      <w:r>
        <w:t xml:space="preserve">Date features extract temporal components. Month of opening ranges from 1 to 12: </w:t>
      </w:r>
      <w:proofErr w:type="spellStart"/>
      <w:r>
        <w:t>x_month</w:t>
      </w:r>
      <w:proofErr w:type="spellEnd"/>
      <w:r>
        <w:t xml:space="preserve"> = month(</w:t>
      </w:r>
      <w:proofErr w:type="spellStart"/>
      <w:r>
        <w:t>opening_date</w:t>
      </w:r>
      <w:proofErr w:type="spellEnd"/>
      <w:r>
        <w:t xml:space="preserve">). Week of year ranges from 1 to 52: </w:t>
      </w:r>
      <w:proofErr w:type="spellStart"/>
      <w:r>
        <w:t>x_week</w:t>
      </w:r>
      <w:proofErr w:type="spellEnd"/>
      <w:r>
        <w:t xml:space="preserve"> = </w:t>
      </w:r>
      <w:proofErr w:type="spellStart"/>
      <w:r>
        <w:t>week_of_year</w:t>
      </w:r>
      <w:proofErr w:type="spellEnd"/>
      <w:r>
        <w:t>(</w:t>
      </w:r>
      <w:proofErr w:type="spellStart"/>
      <w:r>
        <w:t>opening_date</w:t>
      </w:r>
      <w:proofErr w:type="spellEnd"/>
      <w:r>
        <w:t xml:space="preserve">). Day of week encodes weekday versus weekend: </w:t>
      </w:r>
      <w:proofErr w:type="spellStart"/>
      <w:r>
        <w:t>x_dow</w:t>
      </w:r>
      <w:proofErr w:type="spellEnd"/>
      <w:r>
        <w:t xml:space="preserve"> = </w:t>
      </w:r>
      <w:proofErr w:type="spellStart"/>
      <w:r>
        <w:t>day_of_week</w:t>
      </w:r>
      <w:proofErr w:type="spellEnd"/>
      <w:r>
        <w:t>(</w:t>
      </w:r>
      <w:proofErr w:type="spellStart"/>
      <w:r>
        <w:t>opening_date</w:t>
      </w:r>
      <w:proofErr w:type="spellEnd"/>
      <w:r>
        <w:t xml:space="preserve">) ∈ {0, 1, …, 6}. Holiday indicators flag special periods: </w:t>
      </w:r>
      <w:proofErr w:type="spellStart"/>
      <w:r>
        <w:t>x_holiday</w:t>
      </w:r>
      <w:proofErr w:type="spellEnd"/>
      <w:r>
        <w:t xml:space="preserve"> = 𝟙(</w:t>
      </w:r>
      <w:proofErr w:type="spellStart"/>
      <w:r>
        <w:t>opening_date</w:t>
      </w:r>
      <w:proofErr w:type="spellEnd"/>
      <w:r>
        <w:t xml:space="preserve"> ∈ </w:t>
      </w:r>
      <w:proofErr w:type="spellStart"/>
      <w:r>
        <w:t>HolidayWindows</w:t>
      </w:r>
      <w:proofErr w:type="spellEnd"/>
      <w:r>
        <w:t>).</w:t>
      </w:r>
    </w:p>
    <w:p w14:paraId="3ABA5F6F" w14:textId="77777777" w:rsidR="00B45D7C" w:rsidRDefault="00000000">
      <w:pPr>
        <w:spacing w:after="200" w:line="276" w:lineRule="auto"/>
      </w:pPr>
      <w:r>
        <w:t xml:space="preserve">Economic features normalise for inflation: </w:t>
      </w:r>
      <w:proofErr w:type="spellStart"/>
      <w:r>
        <w:t>x_inflation_adj</w:t>
      </w:r>
      <w:proofErr w:type="spellEnd"/>
      <w:r>
        <w:t xml:space="preserve"> = </w:t>
      </w:r>
      <w:proofErr w:type="gramStart"/>
      <w:r>
        <w:t>CPI(</w:t>
      </w:r>
      <w:proofErr w:type="spellStart"/>
      <w:proofErr w:type="gramEnd"/>
      <w:r>
        <w:t>reference_year</w:t>
      </w:r>
      <w:proofErr w:type="spellEnd"/>
      <w:r>
        <w:t xml:space="preserve">) / </w:t>
      </w:r>
      <w:proofErr w:type="gramStart"/>
      <w:r>
        <w:t>CPI(</w:t>
      </w:r>
      <w:proofErr w:type="spellStart"/>
      <w:proofErr w:type="gramEnd"/>
      <w:r>
        <w:t>opening_year</w:t>
      </w:r>
      <w:proofErr w:type="spellEnd"/>
      <w:r>
        <w:t xml:space="preserve">). This ratio converts historical values to constant dollars. Other economic indicators like consumer confidence, energy prices, and GDP growth are standardised to zero mean and unit variance: </w:t>
      </w:r>
      <w:proofErr w:type="spellStart"/>
      <w:r>
        <w:t>x_econ_standardised</w:t>
      </w:r>
      <w:proofErr w:type="spellEnd"/>
      <w:r>
        <w:t xml:space="preserve"> = (</w:t>
      </w:r>
      <w:proofErr w:type="spellStart"/>
      <w:r>
        <w:t>x_econ_raw</w:t>
      </w:r>
      <w:proofErr w:type="spellEnd"/>
      <w:r>
        <w:t xml:space="preserve"> - μ) / σ where μ and σ are computed from the training set.</w:t>
      </w:r>
    </w:p>
    <w:p w14:paraId="1AEBFB92" w14:textId="77777777" w:rsidR="00B45D7C" w:rsidRDefault="00000000">
      <w:pPr>
        <w:spacing w:after="200" w:line="276" w:lineRule="auto"/>
      </w:pPr>
      <w:r>
        <w:t xml:space="preserve">Buzz features normalise platform-specific metrics to [0, 1]: </w:t>
      </w:r>
      <w:proofErr w:type="spellStart"/>
      <w:r>
        <w:t>x_buzz</w:t>
      </w:r>
      <w:proofErr w:type="spellEnd"/>
      <w:r>
        <w:t xml:space="preserve"> = </w:t>
      </w:r>
      <w:proofErr w:type="spellStart"/>
      <w:r>
        <w:t>platform_score</w:t>
      </w:r>
      <w:proofErr w:type="spellEnd"/>
      <w:r>
        <w:t xml:space="preserve"> / max(</w:t>
      </w:r>
      <w:proofErr w:type="spellStart"/>
      <w:r>
        <w:t>historical_scores</w:t>
      </w:r>
      <w:proofErr w:type="spellEnd"/>
      <w:r>
        <w:t>). This scaling ensures buzz signals from different platforms contribute comparably despite different absolute scales.</w:t>
      </w:r>
    </w:p>
    <w:p w14:paraId="6A1EC623" w14:textId="77777777" w:rsidR="00B45D7C" w:rsidRDefault="00000000">
      <w:r>
        <w:br w:type="page"/>
      </w:r>
    </w:p>
    <w:p w14:paraId="39A40C19" w14:textId="77777777" w:rsidR="00B45D7C" w:rsidRDefault="00000000">
      <w:pPr>
        <w:pStyle w:val="Heading1"/>
      </w:pPr>
      <w:r>
        <w:lastRenderedPageBreak/>
        <w:t>Appendix B: Data Dictionary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1183"/>
        <w:gridCol w:w="5121"/>
      </w:tblGrid>
      <w:tr w:rsidR="00B45D7C" w14:paraId="011F0BF0" w14:textId="77777777">
        <w:tblPrEx>
          <w:tblCellMar>
            <w:top w:w="0" w:type="dxa"/>
            <w:bottom w:w="0" w:type="dxa"/>
          </w:tblCellMar>
        </w:tblPrEx>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E8E8E8"/>
          </w:tcPr>
          <w:p w14:paraId="6570FDB0" w14:textId="77777777" w:rsidR="00B45D7C" w:rsidRDefault="00000000">
            <w:pPr>
              <w:jc w:val="center"/>
            </w:pPr>
            <w:r>
              <w:rPr>
                <w:rFonts w:ascii="Arial" w:eastAsia="Arial" w:hAnsi="Arial" w:cs="Arial"/>
                <w:b/>
                <w:bCs/>
                <w:sz w:val="22"/>
                <w:szCs w:val="22"/>
              </w:rPr>
              <w:t>Feature Name</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Pr>
          <w:p w14:paraId="3AC12447" w14:textId="77777777" w:rsidR="00B45D7C" w:rsidRDefault="00000000">
            <w:pPr>
              <w:jc w:val="center"/>
            </w:pPr>
            <w:r>
              <w:rPr>
                <w:rFonts w:ascii="Arial" w:eastAsia="Arial" w:hAnsi="Arial" w:cs="Arial"/>
                <w:b/>
                <w:bCs/>
                <w:sz w:val="22"/>
                <w:szCs w:val="22"/>
              </w:rPr>
              <w:t>Type</w:t>
            </w:r>
          </w:p>
        </w:tc>
        <w:tc>
          <w:tcPr>
            <w:tcW w:w="5560" w:type="dxa"/>
            <w:tcBorders>
              <w:top w:val="single" w:sz="1" w:space="0" w:color="999999"/>
              <w:left w:val="single" w:sz="1" w:space="0" w:color="999999"/>
              <w:bottom w:val="single" w:sz="1" w:space="0" w:color="999999"/>
              <w:right w:val="single" w:sz="1" w:space="0" w:color="999999"/>
            </w:tcBorders>
            <w:shd w:val="clear" w:color="auto" w:fill="E8E8E8"/>
          </w:tcPr>
          <w:p w14:paraId="1E997B61" w14:textId="77777777" w:rsidR="00B45D7C" w:rsidRDefault="00000000">
            <w:pPr>
              <w:jc w:val="center"/>
            </w:pPr>
            <w:r>
              <w:rPr>
                <w:rFonts w:ascii="Arial" w:eastAsia="Arial" w:hAnsi="Arial" w:cs="Arial"/>
                <w:b/>
                <w:bCs/>
                <w:sz w:val="22"/>
                <w:szCs w:val="22"/>
              </w:rPr>
              <w:t>Description</w:t>
            </w:r>
          </w:p>
        </w:tc>
      </w:tr>
      <w:tr w:rsidR="00B45D7C" w14:paraId="19AC5CF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1F19A58B" w14:textId="77777777" w:rsidR="00B45D7C" w:rsidRDefault="00000000">
            <w:proofErr w:type="spellStart"/>
            <w:r>
              <w:rPr>
                <w:sz w:val="22"/>
                <w:szCs w:val="22"/>
              </w:rPr>
              <w:t>prior_total_tickets</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35F0978B"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69F290DD" w14:textId="77777777" w:rsidR="00B45D7C" w:rsidRDefault="00000000">
            <w:r>
              <w:rPr>
                <w:sz w:val="22"/>
                <w:szCs w:val="22"/>
              </w:rPr>
              <w:t>Cumulative tickets from all past runs</w:t>
            </w:r>
          </w:p>
        </w:tc>
      </w:tr>
      <w:tr w:rsidR="00B45D7C" w14:paraId="2DA9F168"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0476E159" w14:textId="77777777" w:rsidR="00B45D7C" w:rsidRDefault="00000000">
            <w:proofErr w:type="spellStart"/>
            <w:r>
              <w:rPr>
                <w:sz w:val="22"/>
                <w:szCs w:val="22"/>
              </w:rPr>
              <w:t>ticket_median_prior</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5FAFCB9A"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7622BC97" w14:textId="77777777" w:rsidR="00B45D7C" w:rsidRDefault="00000000">
            <w:r>
              <w:rPr>
                <w:sz w:val="22"/>
                <w:szCs w:val="22"/>
              </w:rPr>
              <w:t>Median tickets across past runs</w:t>
            </w:r>
          </w:p>
        </w:tc>
      </w:tr>
      <w:tr w:rsidR="00B45D7C" w14:paraId="5B8CFC8C"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6B9EE2B1" w14:textId="77777777" w:rsidR="00B45D7C" w:rsidRDefault="00000000">
            <w:proofErr w:type="spellStart"/>
            <w:r>
              <w:rPr>
                <w:sz w:val="22"/>
                <w:szCs w:val="22"/>
              </w:rPr>
              <w:t>is_remount_recent</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496B9E2E" w14:textId="77777777" w:rsidR="00B45D7C" w:rsidRDefault="00000000">
            <w:r>
              <w:rPr>
                <w:sz w:val="22"/>
                <w:szCs w:val="22"/>
              </w:rPr>
              <w:t>Boolean</w:t>
            </w:r>
          </w:p>
        </w:tc>
        <w:tc>
          <w:tcPr>
            <w:tcW w:w="5560" w:type="dxa"/>
            <w:tcBorders>
              <w:top w:val="single" w:sz="1" w:space="0" w:color="999999"/>
              <w:left w:val="single" w:sz="1" w:space="0" w:color="999999"/>
              <w:bottom w:val="single" w:sz="1" w:space="0" w:color="999999"/>
              <w:right w:val="single" w:sz="1" w:space="0" w:color="999999"/>
            </w:tcBorders>
          </w:tcPr>
          <w:p w14:paraId="40A02A8B" w14:textId="77777777" w:rsidR="00B45D7C" w:rsidRDefault="00000000">
            <w:r>
              <w:rPr>
                <w:sz w:val="22"/>
                <w:szCs w:val="22"/>
              </w:rPr>
              <w:t>True if last run within 5 years</w:t>
            </w:r>
          </w:p>
        </w:tc>
      </w:tr>
      <w:tr w:rsidR="00B45D7C" w14:paraId="1140402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4AC16FD5" w14:textId="77777777" w:rsidR="00B45D7C" w:rsidRDefault="00000000">
            <w:proofErr w:type="spellStart"/>
            <w:r>
              <w:rPr>
                <w:sz w:val="22"/>
                <w:szCs w:val="22"/>
              </w:rPr>
              <w:t>years_since_last_run</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79EC2A92"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742A2E54" w14:textId="77777777" w:rsidR="00B45D7C" w:rsidRDefault="00000000">
            <w:r>
              <w:rPr>
                <w:sz w:val="22"/>
                <w:szCs w:val="22"/>
              </w:rPr>
              <w:t>Years elapsed since most recent run</w:t>
            </w:r>
          </w:p>
        </w:tc>
      </w:tr>
      <w:tr w:rsidR="00B45D7C" w14:paraId="716FF320"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68E91651" w14:textId="77777777" w:rsidR="00B45D7C" w:rsidRDefault="00000000">
            <w:proofErr w:type="spellStart"/>
            <w:r>
              <w:rPr>
                <w:sz w:val="22"/>
                <w:szCs w:val="22"/>
              </w:rPr>
              <w:t>run_count_prior</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510A0395" w14:textId="77777777" w:rsidR="00B45D7C" w:rsidRDefault="00000000">
            <w:r>
              <w:rPr>
                <w:sz w:val="22"/>
                <w:szCs w:val="22"/>
              </w:rPr>
              <w:t>Integer</w:t>
            </w:r>
          </w:p>
        </w:tc>
        <w:tc>
          <w:tcPr>
            <w:tcW w:w="5560" w:type="dxa"/>
            <w:tcBorders>
              <w:top w:val="single" w:sz="1" w:space="0" w:color="999999"/>
              <w:left w:val="single" w:sz="1" w:space="0" w:color="999999"/>
              <w:bottom w:val="single" w:sz="1" w:space="0" w:color="999999"/>
              <w:right w:val="single" w:sz="1" w:space="0" w:color="999999"/>
            </w:tcBorders>
          </w:tcPr>
          <w:p w14:paraId="08384306" w14:textId="77777777" w:rsidR="00B45D7C" w:rsidRDefault="00000000">
            <w:r>
              <w:rPr>
                <w:sz w:val="22"/>
                <w:szCs w:val="22"/>
              </w:rPr>
              <w:t>Number of previous performances</w:t>
            </w:r>
          </w:p>
        </w:tc>
      </w:tr>
      <w:tr w:rsidR="00B45D7C" w14:paraId="38906CC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6ECF0A6F" w14:textId="77777777" w:rsidR="00B45D7C" w:rsidRDefault="00000000">
            <w:proofErr w:type="spellStart"/>
            <w:r>
              <w:rPr>
                <w:sz w:val="22"/>
                <w:szCs w:val="22"/>
              </w:rPr>
              <w:t>inflation_adjustment_factor</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17D02F40"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28B16585" w14:textId="77777777" w:rsidR="00B45D7C" w:rsidRDefault="00000000">
            <w:r>
              <w:rPr>
                <w:sz w:val="22"/>
                <w:szCs w:val="22"/>
              </w:rPr>
              <w:t>CPI-based normalisation ratio</w:t>
            </w:r>
          </w:p>
        </w:tc>
      </w:tr>
      <w:tr w:rsidR="00B45D7C" w14:paraId="225B8079"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17AA7A8B" w14:textId="77777777" w:rsidR="00B45D7C" w:rsidRDefault="00000000">
            <w:proofErr w:type="spellStart"/>
            <w:r>
              <w:rPr>
                <w:sz w:val="22"/>
                <w:szCs w:val="22"/>
              </w:rPr>
              <w:t>consumer_confidence_prairies</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022BF553"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6B6F27EC" w14:textId="77777777" w:rsidR="00B45D7C" w:rsidRDefault="00000000">
            <w:r>
              <w:rPr>
                <w:sz w:val="22"/>
                <w:szCs w:val="22"/>
              </w:rPr>
              <w:t>Regional confidence index</w:t>
            </w:r>
          </w:p>
        </w:tc>
      </w:tr>
      <w:tr w:rsidR="00B45D7C" w14:paraId="1B6077F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2B5C7667" w14:textId="77777777" w:rsidR="00B45D7C" w:rsidRDefault="00000000">
            <w:proofErr w:type="spellStart"/>
            <w:r>
              <w:rPr>
                <w:sz w:val="22"/>
                <w:szCs w:val="22"/>
              </w:rPr>
              <w:t>energy_index</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15371C18"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7E3D93EA" w14:textId="77777777" w:rsidR="00B45D7C" w:rsidRDefault="00000000">
            <w:r>
              <w:rPr>
                <w:sz w:val="22"/>
                <w:szCs w:val="22"/>
              </w:rPr>
              <w:t>Oil/gas sector economic indicator</w:t>
            </w:r>
          </w:p>
        </w:tc>
      </w:tr>
      <w:tr w:rsidR="00B45D7C" w14:paraId="6851A6A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5EE7E1AD" w14:textId="77777777" w:rsidR="00B45D7C" w:rsidRDefault="00000000">
            <w:r>
              <w:rPr>
                <w:sz w:val="22"/>
                <w:szCs w:val="22"/>
              </w:rPr>
              <w:t>wiki</w:t>
            </w:r>
          </w:p>
        </w:tc>
        <w:tc>
          <w:tcPr>
            <w:tcW w:w="1200" w:type="dxa"/>
            <w:tcBorders>
              <w:top w:val="single" w:sz="1" w:space="0" w:color="999999"/>
              <w:left w:val="single" w:sz="1" w:space="0" w:color="999999"/>
              <w:bottom w:val="single" w:sz="1" w:space="0" w:color="999999"/>
              <w:right w:val="single" w:sz="1" w:space="0" w:color="999999"/>
            </w:tcBorders>
          </w:tcPr>
          <w:p w14:paraId="00C98F9B"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4F96D40C" w14:textId="77777777" w:rsidR="00B45D7C" w:rsidRDefault="00000000">
            <w:r>
              <w:rPr>
                <w:sz w:val="22"/>
                <w:szCs w:val="22"/>
              </w:rPr>
              <w:t>Wikipedia pageview signal [0,1]</w:t>
            </w:r>
          </w:p>
        </w:tc>
      </w:tr>
      <w:tr w:rsidR="00B45D7C" w14:paraId="0F6F2C05"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1F7429BE" w14:textId="77777777" w:rsidR="00B45D7C" w:rsidRDefault="00000000">
            <w:proofErr w:type="spellStart"/>
            <w:r>
              <w:rPr>
                <w:sz w:val="22"/>
                <w:szCs w:val="22"/>
              </w:rPr>
              <w:t>youtube</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46723145"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25D8F657" w14:textId="77777777" w:rsidR="00B45D7C" w:rsidRDefault="00000000">
            <w:r>
              <w:rPr>
                <w:sz w:val="22"/>
                <w:szCs w:val="22"/>
              </w:rPr>
              <w:t>YouTube engagement signal [0,1]</w:t>
            </w:r>
          </w:p>
        </w:tc>
      </w:tr>
      <w:tr w:rsidR="00B45D7C" w14:paraId="2D0CFF3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36F86913" w14:textId="77777777" w:rsidR="00B45D7C" w:rsidRDefault="00000000">
            <w:proofErr w:type="spellStart"/>
            <w:r>
              <w:rPr>
                <w:sz w:val="22"/>
                <w:szCs w:val="22"/>
              </w:rPr>
              <w:t>spotify</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72E3CCA6"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282EF8D6" w14:textId="77777777" w:rsidR="00B45D7C" w:rsidRDefault="00000000">
            <w:r>
              <w:rPr>
                <w:sz w:val="22"/>
                <w:szCs w:val="22"/>
              </w:rPr>
              <w:t>Spotify streaming signal [0,1]</w:t>
            </w:r>
          </w:p>
        </w:tc>
      </w:tr>
      <w:tr w:rsidR="00B45D7C" w14:paraId="591462F0"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66A8844D" w14:textId="77777777" w:rsidR="00B45D7C" w:rsidRDefault="00000000">
            <w:r>
              <w:rPr>
                <w:sz w:val="22"/>
                <w:szCs w:val="22"/>
              </w:rPr>
              <w:t>trends</w:t>
            </w:r>
          </w:p>
        </w:tc>
        <w:tc>
          <w:tcPr>
            <w:tcW w:w="1200" w:type="dxa"/>
            <w:tcBorders>
              <w:top w:val="single" w:sz="1" w:space="0" w:color="999999"/>
              <w:left w:val="single" w:sz="1" w:space="0" w:color="999999"/>
              <w:bottom w:val="single" w:sz="1" w:space="0" w:color="999999"/>
              <w:right w:val="single" w:sz="1" w:space="0" w:color="999999"/>
            </w:tcBorders>
          </w:tcPr>
          <w:p w14:paraId="69E86034" w14:textId="77777777" w:rsidR="00B45D7C" w:rsidRDefault="00000000">
            <w:r>
              <w:rPr>
                <w:sz w:val="22"/>
                <w:szCs w:val="22"/>
              </w:rPr>
              <w:t>Numeric</w:t>
            </w:r>
          </w:p>
        </w:tc>
        <w:tc>
          <w:tcPr>
            <w:tcW w:w="5560" w:type="dxa"/>
            <w:tcBorders>
              <w:top w:val="single" w:sz="1" w:space="0" w:color="999999"/>
              <w:left w:val="single" w:sz="1" w:space="0" w:color="999999"/>
              <w:bottom w:val="single" w:sz="1" w:space="0" w:color="999999"/>
              <w:right w:val="single" w:sz="1" w:space="0" w:color="999999"/>
            </w:tcBorders>
          </w:tcPr>
          <w:p w14:paraId="12BF89C1" w14:textId="77777777" w:rsidR="00B45D7C" w:rsidRDefault="00000000">
            <w:r>
              <w:rPr>
                <w:sz w:val="22"/>
                <w:szCs w:val="22"/>
              </w:rPr>
              <w:t>Google Trends interest [0,1]</w:t>
            </w:r>
          </w:p>
        </w:tc>
      </w:tr>
      <w:tr w:rsidR="00B45D7C" w14:paraId="03038CB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7E24895E" w14:textId="77777777" w:rsidR="00B45D7C" w:rsidRDefault="00000000">
            <w:proofErr w:type="spellStart"/>
            <w:r>
              <w:rPr>
                <w:sz w:val="22"/>
                <w:szCs w:val="22"/>
              </w:rPr>
              <w:t>opening_month</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5AB6E8D6" w14:textId="77777777" w:rsidR="00B45D7C" w:rsidRDefault="00000000">
            <w:r>
              <w:rPr>
                <w:sz w:val="22"/>
                <w:szCs w:val="22"/>
              </w:rPr>
              <w:t>Integer</w:t>
            </w:r>
          </w:p>
        </w:tc>
        <w:tc>
          <w:tcPr>
            <w:tcW w:w="5560" w:type="dxa"/>
            <w:tcBorders>
              <w:top w:val="single" w:sz="1" w:space="0" w:color="999999"/>
              <w:left w:val="single" w:sz="1" w:space="0" w:color="999999"/>
              <w:bottom w:val="single" w:sz="1" w:space="0" w:color="999999"/>
              <w:right w:val="single" w:sz="1" w:space="0" w:color="999999"/>
            </w:tcBorders>
          </w:tcPr>
          <w:p w14:paraId="360F462A" w14:textId="77777777" w:rsidR="00B45D7C" w:rsidRDefault="00000000">
            <w:r>
              <w:rPr>
                <w:sz w:val="22"/>
                <w:szCs w:val="22"/>
              </w:rPr>
              <w:t>Month of opening (1-12)</w:t>
            </w:r>
          </w:p>
        </w:tc>
      </w:tr>
      <w:tr w:rsidR="00B45D7C" w14:paraId="1E196B0B"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3A3AA2BF" w14:textId="77777777" w:rsidR="00B45D7C" w:rsidRDefault="00000000">
            <w:proofErr w:type="spellStart"/>
            <w:r>
              <w:rPr>
                <w:sz w:val="22"/>
                <w:szCs w:val="22"/>
              </w:rPr>
              <w:t>opening_week_of_year</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768257CC" w14:textId="77777777" w:rsidR="00B45D7C" w:rsidRDefault="00000000">
            <w:r>
              <w:rPr>
                <w:sz w:val="22"/>
                <w:szCs w:val="22"/>
              </w:rPr>
              <w:t>Integer</w:t>
            </w:r>
          </w:p>
        </w:tc>
        <w:tc>
          <w:tcPr>
            <w:tcW w:w="5560" w:type="dxa"/>
            <w:tcBorders>
              <w:top w:val="single" w:sz="1" w:space="0" w:color="999999"/>
              <w:left w:val="single" w:sz="1" w:space="0" w:color="999999"/>
              <w:bottom w:val="single" w:sz="1" w:space="0" w:color="999999"/>
              <w:right w:val="single" w:sz="1" w:space="0" w:color="999999"/>
            </w:tcBorders>
          </w:tcPr>
          <w:p w14:paraId="016F18DC" w14:textId="77777777" w:rsidR="00B45D7C" w:rsidRDefault="00000000">
            <w:r>
              <w:rPr>
                <w:sz w:val="22"/>
                <w:szCs w:val="22"/>
              </w:rPr>
              <w:t>Week of opening (1-52)</w:t>
            </w:r>
          </w:p>
        </w:tc>
      </w:tr>
      <w:tr w:rsidR="00B45D7C" w14:paraId="5D1C3CC2"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502C4489" w14:textId="77777777" w:rsidR="00B45D7C" w:rsidRDefault="00000000">
            <w:proofErr w:type="spellStart"/>
            <w:r>
              <w:rPr>
                <w:sz w:val="22"/>
                <w:szCs w:val="22"/>
              </w:rPr>
              <w:t>opening_is_holiday_season</w:t>
            </w:r>
            <w:proofErr w:type="spellEnd"/>
          </w:p>
        </w:tc>
        <w:tc>
          <w:tcPr>
            <w:tcW w:w="1200" w:type="dxa"/>
            <w:tcBorders>
              <w:top w:val="single" w:sz="1" w:space="0" w:color="999999"/>
              <w:left w:val="single" w:sz="1" w:space="0" w:color="999999"/>
              <w:bottom w:val="single" w:sz="1" w:space="0" w:color="999999"/>
              <w:right w:val="single" w:sz="1" w:space="0" w:color="999999"/>
            </w:tcBorders>
          </w:tcPr>
          <w:p w14:paraId="4D4E224F" w14:textId="77777777" w:rsidR="00B45D7C" w:rsidRDefault="00000000">
            <w:r>
              <w:rPr>
                <w:sz w:val="22"/>
                <w:szCs w:val="22"/>
              </w:rPr>
              <w:t>Boolean</w:t>
            </w:r>
          </w:p>
        </w:tc>
        <w:tc>
          <w:tcPr>
            <w:tcW w:w="5560" w:type="dxa"/>
            <w:tcBorders>
              <w:top w:val="single" w:sz="1" w:space="0" w:color="999999"/>
              <w:left w:val="single" w:sz="1" w:space="0" w:color="999999"/>
              <w:bottom w:val="single" w:sz="1" w:space="0" w:color="999999"/>
              <w:right w:val="single" w:sz="1" w:space="0" w:color="999999"/>
            </w:tcBorders>
          </w:tcPr>
          <w:p w14:paraId="49870D76" w14:textId="77777777" w:rsidR="00B45D7C" w:rsidRDefault="00000000">
            <w:r>
              <w:rPr>
                <w:sz w:val="22"/>
                <w:szCs w:val="22"/>
              </w:rPr>
              <w:t>Opens during holiday period</w:t>
            </w:r>
          </w:p>
        </w:tc>
      </w:tr>
      <w:tr w:rsidR="00B45D7C" w14:paraId="567E401D" w14:textId="77777777">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tcPr>
          <w:p w14:paraId="1F53D6F7" w14:textId="77777777" w:rsidR="00B45D7C" w:rsidRDefault="00000000">
            <w:r>
              <w:rPr>
                <w:sz w:val="22"/>
                <w:szCs w:val="22"/>
              </w:rPr>
              <w:t>category</w:t>
            </w:r>
          </w:p>
        </w:tc>
        <w:tc>
          <w:tcPr>
            <w:tcW w:w="1200" w:type="dxa"/>
            <w:tcBorders>
              <w:top w:val="single" w:sz="1" w:space="0" w:color="999999"/>
              <w:left w:val="single" w:sz="1" w:space="0" w:color="999999"/>
              <w:bottom w:val="single" w:sz="1" w:space="0" w:color="999999"/>
              <w:right w:val="single" w:sz="1" w:space="0" w:color="999999"/>
            </w:tcBorders>
          </w:tcPr>
          <w:p w14:paraId="6E6A7833" w14:textId="77777777" w:rsidR="00B45D7C" w:rsidRDefault="00000000">
            <w:r>
              <w:rPr>
                <w:sz w:val="22"/>
                <w:szCs w:val="22"/>
              </w:rPr>
              <w:t>Categorical</w:t>
            </w:r>
          </w:p>
        </w:tc>
        <w:tc>
          <w:tcPr>
            <w:tcW w:w="5560" w:type="dxa"/>
            <w:tcBorders>
              <w:top w:val="single" w:sz="1" w:space="0" w:color="999999"/>
              <w:left w:val="single" w:sz="1" w:space="0" w:color="999999"/>
              <w:bottom w:val="single" w:sz="1" w:space="0" w:color="999999"/>
              <w:right w:val="single" w:sz="1" w:space="0" w:color="999999"/>
            </w:tcBorders>
          </w:tcPr>
          <w:p w14:paraId="05923EC2" w14:textId="77777777" w:rsidR="00B45D7C" w:rsidRDefault="00000000">
            <w:r>
              <w:rPr>
                <w:sz w:val="22"/>
                <w:szCs w:val="22"/>
              </w:rPr>
              <w:t>Production type (classical, contemporary, etc.)</w:t>
            </w:r>
          </w:p>
        </w:tc>
      </w:tr>
    </w:tbl>
    <w:p w14:paraId="446E75BF" w14:textId="77777777" w:rsidR="00B45D7C" w:rsidRDefault="00000000">
      <w:pPr>
        <w:spacing w:before="100" w:after="300"/>
        <w:jc w:val="center"/>
      </w:pPr>
      <w:r>
        <w:rPr>
          <w:rFonts w:ascii="Arial" w:eastAsia="Arial" w:hAnsi="Arial" w:cs="Arial"/>
          <w:i/>
          <w:iCs/>
          <w:sz w:val="22"/>
          <w:szCs w:val="22"/>
        </w:rPr>
        <w:t>Table 6: Key Features and Their Definitions</w:t>
      </w:r>
    </w:p>
    <w:p w14:paraId="5CA7F8BA" w14:textId="77777777" w:rsidR="00B45D7C" w:rsidRDefault="00000000">
      <w:r>
        <w:br w:type="page"/>
      </w:r>
    </w:p>
    <w:p w14:paraId="32FDD754" w14:textId="77777777" w:rsidR="00B45D7C" w:rsidRDefault="00000000">
      <w:pPr>
        <w:pStyle w:val="Heading1"/>
      </w:pPr>
      <w:r>
        <w:lastRenderedPageBreak/>
        <w:t>Appendix C: Glossary for Non-Technical Readers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6672"/>
      </w:tblGrid>
      <w:tr w:rsidR="00B45D7C" w14:paraId="2AD41AAC" w14:textId="77777777">
        <w:tblPrEx>
          <w:tblCellMar>
            <w:top w:w="0" w:type="dxa"/>
            <w:bottom w:w="0" w:type="dxa"/>
          </w:tblCellMar>
        </w:tblPrEx>
        <w:trPr>
          <w:tblHeader/>
        </w:trPr>
        <w:tc>
          <w:tcPr>
            <w:tcW w:w="2400" w:type="dxa"/>
            <w:tcBorders>
              <w:top w:val="single" w:sz="1" w:space="0" w:color="999999"/>
              <w:left w:val="single" w:sz="1" w:space="0" w:color="999999"/>
              <w:bottom w:val="single" w:sz="1" w:space="0" w:color="999999"/>
              <w:right w:val="single" w:sz="1" w:space="0" w:color="999999"/>
            </w:tcBorders>
            <w:shd w:val="clear" w:color="auto" w:fill="E8E8E8"/>
          </w:tcPr>
          <w:p w14:paraId="4F3A9099" w14:textId="77777777" w:rsidR="00B45D7C" w:rsidRDefault="00000000">
            <w:pPr>
              <w:jc w:val="center"/>
            </w:pPr>
            <w:r>
              <w:rPr>
                <w:rFonts w:ascii="Arial" w:eastAsia="Arial" w:hAnsi="Arial" w:cs="Arial"/>
                <w:b/>
                <w:bCs/>
                <w:sz w:val="22"/>
                <w:szCs w:val="22"/>
              </w:rPr>
              <w:t>Technical Term</w:t>
            </w:r>
          </w:p>
        </w:tc>
        <w:tc>
          <w:tcPr>
            <w:tcW w:w="6960" w:type="dxa"/>
            <w:tcBorders>
              <w:top w:val="single" w:sz="1" w:space="0" w:color="999999"/>
              <w:left w:val="single" w:sz="1" w:space="0" w:color="999999"/>
              <w:bottom w:val="single" w:sz="1" w:space="0" w:color="999999"/>
              <w:right w:val="single" w:sz="1" w:space="0" w:color="999999"/>
            </w:tcBorders>
            <w:shd w:val="clear" w:color="auto" w:fill="E8E8E8"/>
          </w:tcPr>
          <w:p w14:paraId="14CA2AAE" w14:textId="77777777" w:rsidR="00B45D7C" w:rsidRDefault="00000000">
            <w:pPr>
              <w:jc w:val="center"/>
            </w:pPr>
            <w:r>
              <w:rPr>
                <w:rFonts w:ascii="Arial" w:eastAsia="Arial" w:hAnsi="Arial" w:cs="Arial"/>
                <w:b/>
                <w:bCs/>
                <w:sz w:val="22"/>
                <w:szCs w:val="22"/>
              </w:rPr>
              <w:t>Plain-English Definition</w:t>
            </w:r>
          </w:p>
        </w:tc>
      </w:tr>
      <w:tr w:rsidR="00B45D7C" w14:paraId="53B617B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60FFA93" w14:textId="77777777" w:rsidR="00B45D7C" w:rsidRDefault="00000000">
            <w:r>
              <w:rPr>
                <w:sz w:val="22"/>
                <w:szCs w:val="22"/>
              </w:rPr>
              <w:t>SHAP</w:t>
            </w:r>
          </w:p>
        </w:tc>
        <w:tc>
          <w:tcPr>
            <w:tcW w:w="6960" w:type="dxa"/>
            <w:tcBorders>
              <w:top w:val="single" w:sz="1" w:space="0" w:color="999999"/>
              <w:left w:val="single" w:sz="1" w:space="0" w:color="999999"/>
              <w:bottom w:val="single" w:sz="1" w:space="0" w:color="999999"/>
              <w:right w:val="single" w:sz="1" w:space="0" w:color="999999"/>
            </w:tcBorders>
          </w:tcPr>
          <w:p w14:paraId="4E0C94D2" w14:textId="77777777" w:rsidR="00B45D7C" w:rsidRDefault="00000000">
            <w:r>
              <w:rPr>
                <w:sz w:val="22"/>
                <w:szCs w:val="22"/>
              </w:rPr>
              <w:t>A method for explaining predictions by showing how much each piece of information contributed</w:t>
            </w:r>
          </w:p>
        </w:tc>
      </w:tr>
      <w:tr w:rsidR="00B45D7C" w14:paraId="487B068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BB81EF3" w14:textId="77777777" w:rsidR="00B45D7C" w:rsidRDefault="00000000">
            <w:r>
              <w:rPr>
                <w:sz w:val="22"/>
                <w:szCs w:val="22"/>
              </w:rPr>
              <w:t>Remount</w:t>
            </w:r>
          </w:p>
        </w:tc>
        <w:tc>
          <w:tcPr>
            <w:tcW w:w="6960" w:type="dxa"/>
            <w:tcBorders>
              <w:top w:val="single" w:sz="1" w:space="0" w:color="999999"/>
              <w:left w:val="single" w:sz="1" w:space="0" w:color="999999"/>
              <w:bottom w:val="single" w:sz="1" w:space="0" w:color="999999"/>
              <w:right w:val="single" w:sz="1" w:space="0" w:color="999999"/>
            </w:tcBorders>
          </w:tcPr>
          <w:p w14:paraId="3187F97D" w14:textId="77777777" w:rsidR="00B45D7C" w:rsidRDefault="00000000">
            <w:r>
              <w:rPr>
                <w:sz w:val="22"/>
                <w:szCs w:val="22"/>
              </w:rPr>
              <w:t>Performing a ballet production that has been staged previously</w:t>
            </w:r>
          </w:p>
        </w:tc>
      </w:tr>
      <w:tr w:rsidR="00B45D7C" w14:paraId="2E6EC4B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32B55164" w14:textId="77777777" w:rsidR="00B45D7C" w:rsidRDefault="00000000">
            <w:r>
              <w:rPr>
                <w:sz w:val="22"/>
                <w:szCs w:val="22"/>
              </w:rPr>
              <w:t>Cold start</w:t>
            </w:r>
          </w:p>
        </w:tc>
        <w:tc>
          <w:tcPr>
            <w:tcW w:w="6960" w:type="dxa"/>
            <w:tcBorders>
              <w:top w:val="single" w:sz="1" w:space="0" w:color="999999"/>
              <w:left w:val="single" w:sz="1" w:space="0" w:color="999999"/>
              <w:bottom w:val="single" w:sz="1" w:space="0" w:color="999999"/>
              <w:right w:val="single" w:sz="1" w:space="0" w:color="999999"/>
            </w:tcBorders>
          </w:tcPr>
          <w:p w14:paraId="71002A97" w14:textId="77777777" w:rsidR="00B45D7C" w:rsidRDefault="00000000">
            <w:r>
              <w:rPr>
                <w:sz w:val="22"/>
                <w:szCs w:val="22"/>
              </w:rPr>
              <w:t>A production with no previous performance history to learn from</w:t>
            </w:r>
          </w:p>
        </w:tc>
      </w:tr>
      <w:tr w:rsidR="00B45D7C" w14:paraId="015D80C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6A7D5C7F" w14:textId="77777777" w:rsidR="00B45D7C" w:rsidRDefault="00000000">
            <w:r>
              <w:rPr>
                <w:sz w:val="22"/>
                <w:szCs w:val="22"/>
              </w:rPr>
              <w:t>Log transformation</w:t>
            </w:r>
          </w:p>
        </w:tc>
        <w:tc>
          <w:tcPr>
            <w:tcW w:w="6960" w:type="dxa"/>
            <w:tcBorders>
              <w:top w:val="single" w:sz="1" w:space="0" w:color="999999"/>
              <w:left w:val="single" w:sz="1" w:space="0" w:color="999999"/>
              <w:bottom w:val="single" w:sz="1" w:space="0" w:color="999999"/>
              <w:right w:val="single" w:sz="1" w:space="0" w:color="999999"/>
            </w:tcBorders>
          </w:tcPr>
          <w:p w14:paraId="665260EE" w14:textId="77777777" w:rsidR="00B45D7C" w:rsidRDefault="00000000">
            <w:r>
              <w:rPr>
                <w:sz w:val="22"/>
                <w:szCs w:val="22"/>
              </w:rPr>
              <w:t>A mathematical technique that compresses large numbers, making patterns easier to detect</w:t>
            </w:r>
          </w:p>
        </w:tc>
      </w:tr>
      <w:tr w:rsidR="00B45D7C" w14:paraId="001A71A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B21FE7F" w14:textId="77777777" w:rsidR="00B45D7C" w:rsidRDefault="00000000">
            <w:r>
              <w:rPr>
                <w:sz w:val="22"/>
                <w:szCs w:val="22"/>
              </w:rPr>
              <w:t>Cross-validation</w:t>
            </w:r>
          </w:p>
        </w:tc>
        <w:tc>
          <w:tcPr>
            <w:tcW w:w="6960" w:type="dxa"/>
            <w:tcBorders>
              <w:top w:val="single" w:sz="1" w:space="0" w:color="999999"/>
              <w:left w:val="single" w:sz="1" w:space="0" w:color="999999"/>
              <w:bottom w:val="single" w:sz="1" w:space="0" w:color="999999"/>
              <w:right w:val="single" w:sz="1" w:space="0" w:color="999999"/>
            </w:tcBorders>
          </w:tcPr>
          <w:p w14:paraId="622D54C8" w14:textId="77777777" w:rsidR="00B45D7C" w:rsidRDefault="00000000">
            <w:r>
              <w:rPr>
                <w:sz w:val="22"/>
                <w:szCs w:val="22"/>
              </w:rPr>
              <w:t>Testing a model's accuracy by holding back some data it hasn't seen before</w:t>
            </w:r>
          </w:p>
        </w:tc>
      </w:tr>
      <w:tr w:rsidR="00B45D7C" w14:paraId="52DA9BD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1185A8FF" w14:textId="77777777" w:rsidR="00B45D7C" w:rsidRDefault="00000000">
            <w:proofErr w:type="spellStart"/>
            <w:r>
              <w:rPr>
                <w:sz w:val="22"/>
                <w:szCs w:val="22"/>
              </w:rPr>
              <w:t>XGBoost</w:t>
            </w:r>
            <w:proofErr w:type="spellEnd"/>
          </w:p>
        </w:tc>
        <w:tc>
          <w:tcPr>
            <w:tcW w:w="6960" w:type="dxa"/>
            <w:tcBorders>
              <w:top w:val="single" w:sz="1" w:space="0" w:color="999999"/>
              <w:left w:val="single" w:sz="1" w:space="0" w:color="999999"/>
              <w:bottom w:val="single" w:sz="1" w:space="0" w:color="999999"/>
              <w:right w:val="single" w:sz="1" w:space="0" w:color="999999"/>
            </w:tcBorders>
          </w:tcPr>
          <w:p w14:paraId="4FB0F602" w14:textId="77777777" w:rsidR="00B45D7C" w:rsidRDefault="00000000">
            <w:r>
              <w:rPr>
                <w:sz w:val="22"/>
                <w:szCs w:val="22"/>
              </w:rPr>
              <w:t>An advanced algorithm that learns patterns by building many decision trees</w:t>
            </w:r>
          </w:p>
        </w:tc>
      </w:tr>
      <w:tr w:rsidR="00B45D7C" w14:paraId="37FA0FE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2799C02E" w14:textId="77777777" w:rsidR="00B45D7C" w:rsidRDefault="00000000">
            <w:r>
              <w:rPr>
                <w:sz w:val="22"/>
                <w:szCs w:val="22"/>
              </w:rPr>
              <w:t>MAE / RMSE / R²</w:t>
            </w:r>
          </w:p>
        </w:tc>
        <w:tc>
          <w:tcPr>
            <w:tcW w:w="6960" w:type="dxa"/>
            <w:tcBorders>
              <w:top w:val="single" w:sz="1" w:space="0" w:color="999999"/>
              <w:left w:val="single" w:sz="1" w:space="0" w:color="999999"/>
              <w:bottom w:val="single" w:sz="1" w:space="0" w:color="999999"/>
              <w:right w:val="single" w:sz="1" w:space="0" w:color="999999"/>
            </w:tcBorders>
          </w:tcPr>
          <w:p w14:paraId="506E7136" w14:textId="77777777" w:rsidR="00B45D7C" w:rsidRDefault="00000000">
            <w:r>
              <w:rPr>
                <w:sz w:val="22"/>
                <w:szCs w:val="22"/>
              </w:rPr>
              <w:t>Different ways of measuring prediction accuracy (lower error is better, higher R² is better)</w:t>
            </w:r>
          </w:p>
        </w:tc>
      </w:tr>
      <w:tr w:rsidR="00B45D7C" w14:paraId="73BE9B2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F41620C" w14:textId="77777777" w:rsidR="00B45D7C" w:rsidRDefault="00000000">
            <w:r>
              <w:rPr>
                <w:sz w:val="22"/>
                <w:szCs w:val="22"/>
              </w:rPr>
              <w:t>Baseline</w:t>
            </w:r>
          </w:p>
        </w:tc>
        <w:tc>
          <w:tcPr>
            <w:tcW w:w="6960" w:type="dxa"/>
            <w:tcBorders>
              <w:top w:val="single" w:sz="1" w:space="0" w:color="999999"/>
              <w:left w:val="single" w:sz="1" w:space="0" w:color="999999"/>
              <w:bottom w:val="single" w:sz="1" w:space="0" w:color="999999"/>
              <w:right w:val="single" w:sz="1" w:space="0" w:color="999999"/>
            </w:tcBorders>
          </w:tcPr>
          <w:p w14:paraId="5A5B1843" w14:textId="77777777" w:rsidR="00B45D7C" w:rsidRDefault="00000000">
            <w:r>
              <w:rPr>
                <w:sz w:val="22"/>
                <w:szCs w:val="22"/>
              </w:rPr>
              <w:t>The average or typical expectation before considering specific details</w:t>
            </w:r>
          </w:p>
        </w:tc>
      </w:tr>
      <w:tr w:rsidR="00B45D7C" w14:paraId="36A7D5B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2522431" w14:textId="77777777" w:rsidR="00B45D7C" w:rsidRDefault="00000000">
            <w:r>
              <w:rPr>
                <w:sz w:val="22"/>
                <w:szCs w:val="22"/>
              </w:rPr>
              <w:t>Buzz features</w:t>
            </w:r>
          </w:p>
        </w:tc>
        <w:tc>
          <w:tcPr>
            <w:tcW w:w="6960" w:type="dxa"/>
            <w:tcBorders>
              <w:top w:val="single" w:sz="1" w:space="0" w:color="999999"/>
              <w:left w:val="single" w:sz="1" w:space="0" w:color="999999"/>
              <w:bottom w:val="single" w:sz="1" w:space="0" w:color="999999"/>
              <w:right w:val="single" w:sz="1" w:space="0" w:color="999999"/>
            </w:tcBorders>
          </w:tcPr>
          <w:p w14:paraId="54435885" w14:textId="77777777" w:rsidR="00B45D7C" w:rsidRDefault="00000000">
            <w:r>
              <w:rPr>
                <w:sz w:val="22"/>
                <w:szCs w:val="22"/>
              </w:rPr>
              <w:t>Measures of online attention like YouTube views or search trends</w:t>
            </w:r>
          </w:p>
        </w:tc>
      </w:tr>
      <w:tr w:rsidR="00B45D7C" w14:paraId="6C6576C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5FBF6AF5" w14:textId="77777777" w:rsidR="00B45D7C" w:rsidRDefault="00000000">
            <w:r>
              <w:rPr>
                <w:sz w:val="22"/>
                <w:szCs w:val="22"/>
              </w:rPr>
              <w:t>Feature importance</w:t>
            </w:r>
          </w:p>
        </w:tc>
        <w:tc>
          <w:tcPr>
            <w:tcW w:w="6960" w:type="dxa"/>
            <w:tcBorders>
              <w:top w:val="single" w:sz="1" w:space="0" w:color="999999"/>
              <w:left w:val="single" w:sz="1" w:space="0" w:color="999999"/>
              <w:bottom w:val="single" w:sz="1" w:space="0" w:color="999999"/>
              <w:right w:val="single" w:sz="1" w:space="0" w:color="999999"/>
            </w:tcBorders>
          </w:tcPr>
          <w:p w14:paraId="4D7714CA" w14:textId="77777777" w:rsidR="00B45D7C" w:rsidRDefault="00000000">
            <w:r>
              <w:rPr>
                <w:sz w:val="22"/>
                <w:szCs w:val="22"/>
              </w:rPr>
              <w:t>A ranking of which pieces of information matter most for predictions</w:t>
            </w:r>
          </w:p>
        </w:tc>
      </w:tr>
      <w:tr w:rsidR="00B45D7C" w14:paraId="7A78588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B8A91A1" w14:textId="77777777" w:rsidR="00B45D7C" w:rsidRDefault="00000000">
            <w:r>
              <w:rPr>
                <w:sz w:val="22"/>
                <w:szCs w:val="22"/>
              </w:rPr>
              <w:t>Hyperparameter</w:t>
            </w:r>
          </w:p>
        </w:tc>
        <w:tc>
          <w:tcPr>
            <w:tcW w:w="6960" w:type="dxa"/>
            <w:tcBorders>
              <w:top w:val="single" w:sz="1" w:space="0" w:color="999999"/>
              <w:left w:val="single" w:sz="1" w:space="0" w:color="999999"/>
              <w:bottom w:val="single" w:sz="1" w:space="0" w:color="999999"/>
              <w:right w:val="single" w:sz="1" w:space="0" w:color="999999"/>
            </w:tcBorders>
          </w:tcPr>
          <w:p w14:paraId="5E017F2A" w14:textId="77777777" w:rsidR="00B45D7C" w:rsidRDefault="00000000">
            <w:r>
              <w:rPr>
                <w:sz w:val="22"/>
                <w:szCs w:val="22"/>
              </w:rPr>
              <w:t>A setting that controls how the learning algorithm behaves</w:t>
            </w:r>
          </w:p>
        </w:tc>
      </w:tr>
      <w:tr w:rsidR="00B45D7C" w14:paraId="1DC0A87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75E83C6E" w14:textId="77777777" w:rsidR="00B45D7C" w:rsidRDefault="00000000">
            <w:r>
              <w:rPr>
                <w:sz w:val="22"/>
                <w:szCs w:val="22"/>
              </w:rPr>
              <w:t>Overfitting</w:t>
            </w:r>
          </w:p>
        </w:tc>
        <w:tc>
          <w:tcPr>
            <w:tcW w:w="6960" w:type="dxa"/>
            <w:tcBorders>
              <w:top w:val="single" w:sz="1" w:space="0" w:color="999999"/>
              <w:left w:val="single" w:sz="1" w:space="0" w:color="999999"/>
              <w:bottom w:val="single" w:sz="1" w:space="0" w:color="999999"/>
              <w:right w:val="single" w:sz="1" w:space="0" w:color="999999"/>
            </w:tcBorders>
          </w:tcPr>
          <w:p w14:paraId="696333A1" w14:textId="77777777" w:rsidR="00B45D7C" w:rsidRDefault="00000000">
            <w:r>
              <w:rPr>
                <w:sz w:val="22"/>
                <w:szCs w:val="22"/>
              </w:rPr>
              <w:t>When a model memorises training examples instead of learning general patterns</w:t>
            </w:r>
          </w:p>
        </w:tc>
      </w:tr>
      <w:tr w:rsidR="00B45D7C" w14:paraId="11D0EC1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030AC1AF" w14:textId="77777777" w:rsidR="00B45D7C" w:rsidRDefault="00000000">
            <w:r>
              <w:rPr>
                <w:sz w:val="22"/>
                <w:szCs w:val="22"/>
              </w:rPr>
              <w:t>Regularisation</w:t>
            </w:r>
          </w:p>
        </w:tc>
        <w:tc>
          <w:tcPr>
            <w:tcW w:w="6960" w:type="dxa"/>
            <w:tcBorders>
              <w:top w:val="single" w:sz="1" w:space="0" w:color="999999"/>
              <w:left w:val="single" w:sz="1" w:space="0" w:color="999999"/>
              <w:bottom w:val="single" w:sz="1" w:space="0" w:color="999999"/>
              <w:right w:val="single" w:sz="1" w:space="0" w:color="999999"/>
            </w:tcBorders>
          </w:tcPr>
          <w:p w14:paraId="4EB506C1" w14:textId="77777777" w:rsidR="00B45D7C" w:rsidRDefault="00000000">
            <w:r>
              <w:rPr>
                <w:sz w:val="22"/>
                <w:szCs w:val="22"/>
              </w:rPr>
              <w:t>Techniques that prevent overfitting by penalising overly complex models</w:t>
            </w:r>
          </w:p>
        </w:tc>
      </w:tr>
      <w:tr w:rsidR="00B45D7C" w14:paraId="5418B68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tcPr>
          <w:p w14:paraId="16FDEDE6" w14:textId="77777777" w:rsidR="00B45D7C" w:rsidRDefault="00000000">
            <w:r>
              <w:rPr>
                <w:sz w:val="22"/>
                <w:szCs w:val="22"/>
              </w:rPr>
              <w:t>Validation set</w:t>
            </w:r>
          </w:p>
        </w:tc>
        <w:tc>
          <w:tcPr>
            <w:tcW w:w="6960" w:type="dxa"/>
            <w:tcBorders>
              <w:top w:val="single" w:sz="1" w:space="0" w:color="999999"/>
              <w:left w:val="single" w:sz="1" w:space="0" w:color="999999"/>
              <w:bottom w:val="single" w:sz="1" w:space="0" w:color="999999"/>
              <w:right w:val="single" w:sz="1" w:space="0" w:color="999999"/>
            </w:tcBorders>
          </w:tcPr>
          <w:p w14:paraId="269C453B" w14:textId="77777777" w:rsidR="00B45D7C" w:rsidRDefault="00000000">
            <w:r>
              <w:rPr>
                <w:sz w:val="22"/>
                <w:szCs w:val="22"/>
              </w:rPr>
              <w:t>Data held back during training to test how well the model predicts new cases</w:t>
            </w:r>
          </w:p>
        </w:tc>
      </w:tr>
    </w:tbl>
    <w:p w14:paraId="531E7D68" w14:textId="77777777" w:rsidR="00B45D7C" w:rsidRDefault="00000000">
      <w:pPr>
        <w:spacing w:before="100" w:after="300"/>
        <w:jc w:val="center"/>
      </w:pPr>
      <w:r>
        <w:rPr>
          <w:rFonts w:ascii="Arial" w:eastAsia="Arial" w:hAnsi="Arial" w:cs="Arial"/>
          <w:i/>
          <w:iCs/>
          <w:sz w:val="22"/>
          <w:szCs w:val="22"/>
        </w:rPr>
        <w:t>Table 7: Plain-English Glossary</w:t>
      </w:r>
    </w:p>
    <w:p w14:paraId="53BDD300" w14:textId="77777777" w:rsidR="00B45D7C" w:rsidRDefault="00000000">
      <w:r>
        <w:br w:type="page"/>
      </w:r>
    </w:p>
    <w:p w14:paraId="34548722" w14:textId="77777777" w:rsidR="00B45D7C" w:rsidRDefault="00000000">
      <w:pPr>
        <w:pStyle w:val="Heading1"/>
      </w:pPr>
      <w:r>
        <w:lastRenderedPageBreak/>
        <w:t>Due Diligence Checklist</w:t>
      </w:r>
    </w:p>
    <w:p w14:paraId="29D0FEEA" w14:textId="77777777" w:rsidR="00B45D7C" w:rsidRDefault="00000000">
      <w:pPr>
        <w:spacing w:after="200" w:line="276" w:lineRule="auto"/>
      </w:pPr>
      <w:r>
        <w:t>This checklist confirms that the Alberta Ballet Title Scoring App meets quality standards for internal validation, deployment consideration, and external review. Technical leads and engineering reviewers can use this to verify system readiness.</w:t>
      </w:r>
    </w:p>
    <w:p w14:paraId="51D02F7F" w14:textId="77777777" w:rsidR="00B45D7C" w:rsidRDefault="00000000">
      <w:pPr>
        <w:pStyle w:val="Heading2"/>
      </w:pPr>
      <w:r>
        <w:t>Data Quality &amp; Leakage Control</w:t>
      </w:r>
    </w:p>
    <w:p w14:paraId="3ABB08D5" w14:textId="77777777" w:rsidR="00B45D7C" w:rsidRDefault="00000000">
      <w:pPr>
        <w:spacing w:after="200" w:line="276" w:lineRule="auto"/>
      </w:pPr>
      <w:r>
        <w:t xml:space="preserve">All training features available at forecast time: Confirmed. The </w:t>
      </w:r>
      <w:proofErr w:type="spellStart"/>
      <w:r>
        <w:t>get_cv_</w:t>
      </w:r>
      <w:proofErr w:type="gramStart"/>
      <w:r>
        <w:t>splitter</w:t>
      </w:r>
      <w:proofErr w:type="spellEnd"/>
      <w:r>
        <w:t>(</w:t>
      </w:r>
      <w:proofErr w:type="gramEnd"/>
      <w:r>
        <w:t>) function enforces time-aware cross-validation, and feature engineering modules respect temporal boundaries by design. Automated tests in test_no_leakage_in_dataset.py verify this property systematically.</w:t>
      </w:r>
    </w:p>
    <w:p w14:paraId="344EAA39" w14:textId="77777777" w:rsidR="00B45D7C" w:rsidRDefault="00000000">
      <w:pPr>
        <w:spacing w:after="200" w:line="276" w:lineRule="auto"/>
      </w:pPr>
      <w:r>
        <w:t xml:space="preserve">No future-target leakage present: Confirmed. The </w:t>
      </w:r>
      <w:proofErr w:type="spellStart"/>
      <w:r>
        <w:t>TimeSeriesCVSplitter</w:t>
      </w:r>
      <w:proofErr w:type="spellEnd"/>
      <w:r>
        <w:t xml:space="preserve"> in ml/time_splits.py ensures validation data always comes after training data chronologically. The leakage audit file flags problematic features for exclusion.</w:t>
      </w:r>
    </w:p>
    <w:p w14:paraId="48E51430" w14:textId="77777777" w:rsidR="00B45D7C" w:rsidRDefault="00000000">
      <w:pPr>
        <w:spacing w:after="200" w:line="276" w:lineRule="auto"/>
      </w:pPr>
      <w:r>
        <w:t>Data validation scripts exist and run: Confirmed. Scripts including run_full_pipeline.py, test_data_quality.py, and test_leakage.py validate data integrity and temporal consistency.</w:t>
      </w:r>
    </w:p>
    <w:p w14:paraId="17445A38" w14:textId="77777777" w:rsidR="00B45D7C" w:rsidRDefault="00000000">
      <w:pPr>
        <w:spacing w:after="200" w:line="276" w:lineRule="auto"/>
      </w:pPr>
      <w:r>
        <w:t>Prior ticketing data normalised and lagged: Confirmed. Feature computation in title_features.py and utils/priors.py applies appropriate temporal filtering and inflation adjustment.</w:t>
      </w:r>
    </w:p>
    <w:p w14:paraId="3445D596" w14:textId="77777777" w:rsidR="00B45D7C" w:rsidRDefault="00000000">
      <w:pPr>
        <w:spacing w:after="200" w:line="276" w:lineRule="auto"/>
      </w:pPr>
      <w:r>
        <w:t xml:space="preserve">Economic and buzz features aligned with </w:t>
      </w:r>
      <w:proofErr w:type="spellStart"/>
      <w:r>
        <w:t>opening_date</w:t>
      </w:r>
      <w:proofErr w:type="spellEnd"/>
      <w:r>
        <w:t>: Confirmed. Features are computed using only data available before each production's opening date, implemented in economic_features.py and buzz_features.py.</w:t>
      </w:r>
    </w:p>
    <w:p w14:paraId="761F9AA7" w14:textId="77777777" w:rsidR="00B45D7C" w:rsidRDefault="00000000">
      <w:pPr>
        <w:pStyle w:val="Heading2"/>
      </w:pPr>
      <w:r>
        <w:t>Modelling Workflow</w:t>
      </w:r>
    </w:p>
    <w:p w14:paraId="357CFD97" w14:textId="77777777" w:rsidR="00B45D7C" w:rsidRDefault="00000000">
      <w:pPr>
        <w:spacing w:after="200" w:line="276" w:lineRule="auto"/>
      </w:pPr>
      <w:r>
        <w:t>Model training reproducible via CLI: Confirmed. The command python scripts/train_safe_model.py with appropriate flags executes the complete training pipeline.</w:t>
      </w:r>
    </w:p>
    <w:p w14:paraId="17196C8A" w14:textId="77777777" w:rsidR="00B45D7C" w:rsidRDefault="00000000">
      <w:pPr>
        <w:spacing w:after="200" w:line="276" w:lineRule="auto"/>
      </w:pPr>
      <w:r>
        <w:t>Hyperparameter tuning implemented: Confirmed. The --tune flag enables systematic optimisation through cross-validation.</w:t>
      </w:r>
    </w:p>
    <w:p w14:paraId="4565A613" w14:textId="77777777" w:rsidR="00B45D7C" w:rsidRDefault="00000000">
      <w:pPr>
        <w:spacing w:after="200" w:line="276" w:lineRule="auto"/>
      </w:pPr>
      <w:r>
        <w:t xml:space="preserve">Model artefacts saved with metadata: Confirmed. </w:t>
      </w:r>
      <w:proofErr w:type="spellStart"/>
      <w:r>
        <w:t>Joblib</w:t>
      </w:r>
      <w:proofErr w:type="spellEnd"/>
      <w:r>
        <w:t xml:space="preserve"> and JSON files in outputs/models/ preserve complete model state and configuration.</w:t>
      </w:r>
    </w:p>
    <w:p w14:paraId="67A10CBA" w14:textId="77777777" w:rsidR="00B45D7C" w:rsidRDefault="00000000">
      <w:pPr>
        <w:spacing w:after="200" w:line="276" w:lineRule="auto"/>
      </w:pPr>
      <w:r>
        <w:t xml:space="preserve">Cross-validation respects time: Confirmed. Five-fold </w:t>
      </w:r>
      <w:proofErr w:type="spellStart"/>
      <w:r>
        <w:t>TimeSeriesCVSplitter</w:t>
      </w:r>
      <w:proofErr w:type="spellEnd"/>
      <w:r>
        <w:t xml:space="preserve"> ensures chronological ordering.</w:t>
      </w:r>
    </w:p>
    <w:p w14:paraId="28723601" w14:textId="77777777" w:rsidR="00B45D7C" w:rsidRDefault="00000000">
      <w:pPr>
        <w:spacing w:after="200" w:line="276" w:lineRule="auto"/>
      </w:pPr>
      <w:r>
        <w:t>SHAP explainability available: Confirmed. The --save-</w:t>
      </w:r>
      <w:proofErr w:type="spellStart"/>
      <w:r>
        <w:t>shap</w:t>
      </w:r>
      <w:proofErr w:type="spellEnd"/>
      <w:r>
        <w:t xml:space="preserve"> flag triggers SHAP value computation and storage.</w:t>
      </w:r>
    </w:p>
    <w:p w14:paraId="408E968F" w14:textId="77777777" w:rsidR="00B45D7C" w:rsidRDefault="00000000">
      <w:pPr>
        <w:pStyle w:val="Heading2"/>
      </w:pPr>
      <w:r>
        <w:t>Testing and Validation</w:t>
      </w:r>
    </w:p>
    <w:p w14:paraId="3932CFC1" w14:textId="77777777" w:rsidR="00B45D7C" w:rsidRDefault="00000000">
      <w:pPr>
        <w:spacing w:after="200" w:line="276" w:lineRule="auto"/>
      </w:pPr>
      <w:r>
        <w:lastRenderedPageBreak/>
        <w:t>Automated tests for leakage detection: Confirmed. Test suite includes temporal validation checks that verify no future information enters training data.</w:t>
      </w:r>
    </w:p>
    <w:p w14:paraId="6D58F6DA" w14:textId="77777777" w:rsidR="00B45D7C" w:rsidRDefault="00000000">
      <w:pPr>
        <w:spacing w:after="200" w:line="276" w:lineRule="auto"/>
      </w:pPr>
      <w:r>
        <w:t>Performance metrics documented: Confirmed. Cross-validation results including MAE, RMSE, and R² are computed and stored with each training run.</w:t>
      </w:r>
    </w:p>
    <w:p w14:paraId="0902FDF0" w14:textId="77777777" w:rsidR="00B45D7C" w:rsidRDefault="00000000">
      <w:pPr>
        <w:spacing w:after="200" w:line="276" w:lineRule="auto"/>
      </w:pPr>
      <w:r>
        <w:t>Error analysis by segment available: Confirmed. Diagnostic scripts analyse prediction errors by production category, city, and remount status.</w:t>
      </w:r>
    </w:p>
    <w:p w14:paraId="52D49383" w14:textId="77777777" w:rsidR="00B45D7C" w:rsidRDefault="00B45D7C">
      <w:pPr>
        <w:spacing w:before="600"/>
      </w:pPr>
    </w:p>
    <w:p w14:paraId="402BF2B0" w14:textId="77777777" w:rsidR="00B45D7C" w:rsidRDefault="00000000">
      <w:pPr>
        <w:jc w:val="center"/>
      </w:pPr>
      <w:r>
        <w:rPr>
          <w:rFonts w:ascii="Arial" w:eastAsia="Arial" w:hAnsi="Arial" w:cs="Arial"/>
          <w:i/>
          <w:iCs/>
          <w:color w:val="666666"/>
          <w:sz w:val="22"/>
          <w:szCs w:val="22"/>
        </w:rPr>
        <w:t>— End of Document —</w:t>
      </w:r>
    </w:p>
    <w:sectPr w:rsidR="00B45D7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51AC3" w14:textId="77777777" w:rsidR="00FC2FC1" w:rsidRDefault="00FC2FC1">
      <w:r>
        <w:separator/>
      </w:r>
    </w:p>
  </w:endnote>
  <w:endnote w:type="continuationSeparator" w:id="0">
    <w:p w14:paraId="21207548" w14:textId="77777777" w:rsidR="00FC2FC1" w:rsidRDefault="00FC2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0A766" w14:textId="77777777" w:rsidR="00B45D7C" w:rsidRDefault="00000000">
    <w:pPr>
      <w:jc w:val="center"/>
    </w:pPr>
    <w:r>
      <w:rPr>
        <w:rFonts w:ascii="Arial" w:eastAsia="Arial" w:hAnsi="Arial" w:cs="Arial"/>
        <w:sz w:val="20"/>
        <w:szCs w:val="20"/>
      </w:rPr>
      <w:t xml:space="preserve">Page </w:t>
    </w:r>
    <w:r>
      <w:rPr>
        <w:rFonts w:ascii="Arial" w:eastAsia="Arial" w:hAnsi="Arial" w:cs="Arial"/>
        <w:sz w:val="20"/>
        <w:szCs w:val="20"/>
      </w:rPr>
      <w:fldChar w:fldCharType="begin"/>
    </w:r>
    <w:r>
      <w:rPr>
        <w:rFonts w:ascii="Arial" w:eastAsia="Arial" w:hAnsi="Arial" w:cs="Arial"/>
        <w:sz w:val="20"/>
        <w:szCs w:val="20"/>
      </w:rPr>
      <w:instrText>PAGE</w:instrText>
    </w:r>
    <w:r>
      <w:rPr>
        <w:rFonts w:ascii="Arial" w:eastAsia="Arial" w:hAnsi="Arial" w:cs="Arial"/>
        <w:sz w:val="20"/>
        <w:szCs w:val="20"/>
      </w:rPr>
      <w:fldChar w:fldCharType="separate"/>
    </w:r>
    <w:r w:rsidR="00C807B6">
      <w:rPr>
        <w:rFonts w:ascii="Arial" w:eastAsia="Arial" w:hAnsi="Arial" w:cs="Arial"/>
        <w:noProof/>
        <w:sz w:val="20"/>
        <w:szCs w:val="20"/>
      </w:rPr>
      <w:t>1</w:t>
    </w:r>
    <w:r>
      <w:rPr>
        <w:rFonts w:ascii="Arial" w:eastAsia="Arial" w:hAnsi="Arial" w:cs="Arial"/>
        <w:sz w:val="20"/>
        <w:szCs w:val="20"/>
      </w:rPr>
      <w:fldChar w:fldCharType="end"/>
    </w:r>
    <w:r>
      <w:rPr>
        <w:rFonts w:ascii="Arial" w:eastAsia="Arial" w:hAnsi="Arial" w:cs="Arial"/>
        <w:sz w:val="20"/>
        <w:szCs w:val="20"/>
      </w:rPr>
      <w:t xml:space="preserve"> of </w:t>
    </w:r>
    <w:r>
      <w:rPr>
        <w:rFonts w:ascii="Arial" w:eastAsia="Arial" w:hAnsi="Arial" w:cs="Arial"/>
        <w:sz w:val="20"/>
        <w:szCs w:val="20"/>
      </w:rPr>
      <w:fldChar w:fldCharType="begin"/>
    </w:r>
    <w:r>
      <w:rPr>
        <w:rFonts w:ascii="Arial" w:eastAsia="Arial" w:hAnsi="Arial" w:cs="Arial"/>
        <w:sz w:val="20"/>
        <w:szCs w:val="20"/>
      </w:rPr>
      <w:instrText>NUMPAGES</w:instrText>
    </w:r>
    <w:r>
      <w:rPr>
        <w:rFonts w:ascii="Arial" w:eastAsia="Arial" w:hAnsi="Arial" w:cs="Arial"/>
        <w:sz w:val="20"/>
        <w:szCs w:val="20"/>
      </w:rPr>
      <w:fldChar w:fldCharType="separate"/>
    </w:r>
    <w:r w:rsidR="00C807B6">
      <w:rPr>
        <w:rFonts w:ascii="Arial" w:eastAsia="Arial" w:hAnsi="Arial" w:cs="Arial"/>
        <w:noProof/>
        <w:sz w:val="20"/>
        <w:szCs w:val="20"/>
      </w:rPr>
      <w:t>2</w:t>
    </w:r>
    <w:r>
      <w:rPr>
        <w:rFonts w:ascii="Arial" w:eastAsia="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4B58" w14:textId="77777777" w:rsidR="00FC2FC1" w:rsidRDefault="00FC2FC1">
      <w:r>
        <w:separator/>
      </w:r>
    </w:p>
  </w:footnote>
  <w:footnote w:type="continuationSeparator" w:id="0">
    <w:p w14:paraId="2B89EC31" w14:textId="77777777" w:rsidR="00FC2FC1" w:rsidRDefault="00FC2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064A" w14:textId="77777777" w:rsidR="00B45D7C" w:rsidRDefault="00000000">
    <w:pPr>
      <w:jc w:val="right"/>
    </w:pPr>
    <w:r>
      <w:rPr>
        <w:rFonts w:ascii="Arial" w:eastAsia="Arial" w:hAnsi="Arial" w:cs="Arial"/>
        <w:i/>
        <w:iCs/>
        <w:color w:val="666666"/>
        <w:sz w:val="20"/>
        <w:szCs w:val="20"/>
      </w:rPr>
      <w:t>Alberta Ballet Title Scoring App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D0BFC"/>
    <w:multiLevelType w:val="hybridMultilevel"/>
    <w:tmpl w:val="009A73E2"/>
    <w:lvl w:ilvl="0" w:tplc="0F52FB5C">
      <w:start w:val="1"/>
      <w:numFmt w:val="bullet"/>
      <w:lvlText w:val="●"/>
      <w:lvlJc w:val="left"/>
      <w:pPr>
        <w:ind w:left="720" w:hanging="360"/>
      </w:pPr>
    </w:lvl>
    <w:lvl w:ilvl="1" w:tplc="BD7E373A">
      <w:start w:val="1"/>
      <w:numFmt w:val="bullet"/>
      <w:lvlText w:val="○"/>
      <w:lvlJc w:val="left"/>
      <w:pPr>
        <w:ind w:left="1440" w:hanging="360"/>
      </w:pPr>
    </w:lvl>
    <w:lvl w:ilvl="2" w:tplc="077EC31C">
      <w:start w:val="1"/>
      <w:numFmt w:val="bullet"/>
      <w:lvlText w:val="■"/>
      <w:lvlJc w:val="left"/>
      <w:pPr>
        <w:ind w:left="2160" w:hanging="360"/>
      </w:pPr>
    </w:lvl>
    <w:lvl w:ilvl="3" w:tplc="9A088A26">
      <w:start w:val="1"/>
      <w:numFmt w:val="bullet"/>
      <w:lvlText w:val="●"/>
      <w:lvlJc w:val="left"/>
      <w:pPr>
        <w:ind w:left="2880" w:hanging="360"/>
      </w:pPr>
    </w:lvl>
    <w:lvl w:ilvl="4" w:tplc="467EC6A2">
      <w:start w:val="1"/>
      <w:numFmt w:val="bullet"/>
      <w:lvlText w:val="○"/>
      <w:lvlJc w:val="left"/>
      <w:pPr>
        <w:ind w:left="3600" w:hanging="360"/>
      </w:pPr>
    </w:lvl>
    <w:lvl w:ilvl="5" w:tplc="B2DC359E">
      <w:start w:val="1"/>
      <w:numFmt w:val="bullet"/>
      <w:lvlText w:val="■"/>
      <w:lvlJc w:val="left"/>
      <w:pPr>
        <w:ind w:left="4320" w:hanging="360"/>
      </w:pPr>
    </w:lvl>
    <w:lvl w:ilvl="6" w:tplc="76B21460">
      <w:start w:val="1"/>
      <w:numFmt w:val="bullet"/>
      <w:lvlText w:val="●"/>
      <w:lvlJc w:val="left"/>
      <w:pPr>
        <w:ind w:left="5040" w:hanging="360"/>
      </w:pPr>
    </w:lvl>
    <w:lvl w:ilvl="7" w:tplc="22CEB70E">
      <w:start w:val="1"/>
      <w:numFmt w:val="bullet"/>
      <w:lvlText w:val="●"/>
      <w:lvlJc w:val="left"/>
      <w:pPr>
        <w:ind w:left="5760" w:hanging="360"/>
      </w:pPr>
    </w:lvl>
    <w:lvl w:ilvl="8" w:tplc="23E6729E">
      <w:start w:val="1"/>
      <w:numFmt w:val="bullet"/>
      <w:lvlText w:val="●"/>
      <w:lvlJc w:val="left"/>
      <w:pPr>
        <w:ind w:left="6480" w:hanging="360"/>
      </w:pPr>
    </w:lvl>
  </w:abstractNum>
  <w:num w:numId="1" w16cid:durableId="2144302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D7C"/>
    <w:rsid w:val="007327B2"/>
    <w:rsid w:val="00743DD5"/>
    <w:rsid w:val="00B45D7C"/>
    <w:rsid w:val="00C807B6"/>
    <w:rsid w:val="00FC2F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3548FFD"/>
  <w15:docId w15:val="{A061A611-7556-9442-B94E-925FC78C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Arial" w:eastAsia="Arial" w:hAnsi="Arial" w:cs="Arial"/>
      <w:b/>
      <w:bCs/>
      <w:sz w:val="32"/>
      <w:szCs w:val="32"/>
    </w:rPr>
  </w:style>
  <w:style w:type="paragraph" w:styleId="Heading2">
    <w:name w:val="heading 2"/>
    <w:uiPriority w:val="9"/>
    <w:unhideWhenUsed/>
    <w:qFormat/>
    <w:pPr>
      <w:spacing w:before="300" w:after="160"/>
      <w:outlineLvl w:val="1"/>
    </w:pPr>
    <w:rPr>
      <w:rFonts w:ascii="Arial" w:eastAsia="Arial" w:hAnsi="Arial" w:cs="Arial"/>
      <w:b/>
      <w:bCs/>
      <w:sz w:val="28"/>
      <w:szCs w:val="28"/>
    </w:rPr>
  </w:style>
  <w:style w:type="paragraph" w:styleId="Heading3">
    <w:name w:val="heading 3"/>
    <w:uiPriority w:val="9"/>
    <w:semiHidden/>
    <w:unhideWhenUsed/>
    <w:qFormat/>
    <w:pPr>
      <w:spacing w:before="240" w:after="120"/>
      <w:outlineLvl w:val="2"/>
    </w:pPr>
    <w:rPr>
      <w:rFonts w:ascii="Arial" w:eastAsia="Arial" w:hAnsi="Arial" w:cs="Arial"/>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rFonts w:ascii="Arial" w:eastAsia="Arial" w:hAnsi="Arial" w:cs="Arial"/>
      <w:b/>
      <w:bCs/>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39</Pages>
  <Words>11546</Words>
  <Characters>74704</Characters>
  <Application>Microsoft Office Word</Application>
  <DocSecurity>0</DocSecurity>
  <Lines>1288</Lines>
  <Paragraphs>504</Paragraphs>
  <ScaleCrop>false</ScaleCrop>
  <Company/>
  <LinksUpToDate>false</LinksUpToDate>
  <CharactersWithSpaces>85746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George</cp:lastModifiedBy>
  <cp:revision>2</cp:revision>
  <dcterms:created xsi:type="dcterms:W3CDTF">2025-12-10T00:07:00Z</dcterms:created>
  <dcterms:modified xsi:type="dcterms:W3CDTF">2025-12-10T01:57:00Z</dcterms:modified>
</cp:coreProperties>
</file>