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3A7166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71735B2E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16.33</w:t>
            </w:r>
          </w:p>
        </w:tc>
        <w:tc>
          <w:tcPr>
            <w:tcW w:w="1771" w:type="dxa"/>
          </w:tcPr>
          <w:p w14:paraId="0D755156" w14:textId="3399CC1D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4.22</w:t>
            </w:r>
          </w:p>
        </w:tc>
        <w:tc>
          <w:tcPr>
            <w:tcW w:w="1771" w:type="dxa"/>
          </w:tcPr>
          <w:p w14:paraId="68BE00DE" w14:textId="3EFC17B6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3B5811D9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15.29</w:t>
            </w:r>
          </w:p>
        </w:tc>
        <w:tc>
          <w:tcPr>
            <w:tcW w:w="1771" w:type="dxa"/>
          </w:tcPr>
          <w:p w14:paraId="5FE297E7" w14:textId="0E79F397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4.00</w:t>
            </w:r>
          </w:p>
        </w:tc>
        <w:tc>
          <w:tcPr>
            <w:tcW w:w="1771" w:type="dxa"/>
          </w:tcPr>
          <w:p w14:paraId="12EA5F59" w14:textId="276D38FF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10D80F63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17.78</w:t>
            </w:r>
          </w:p>
        </w:tc>
        <w:tc>
          <w:tcPr>
            <w:tcW w:w="1771" w:type="dxa"/>
          </w:tcPr>
          <w:p w14:paraId="7A08F2E3" w14:textId="76EB3063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4.11</w:t>
            </w:r>
          </w:p>
        </w:tc>
        <w:tc>
          <w:tcPr>
            <w:tcW w:w="1771" w:type="dxa"/>
          </w:tcPr>
          <w:p w14:paraId="445AD724" w14:textId="6DCC1D05" w:rsidR="00C0354A" w:rsidRPr="005452CD" w:rsidRDefault="00841C2A" w:rsidP="00EA42DC">
            <w:pPr>
              <w:jc w:val="both"/>
              <w:rPr>
                <w:b/>
                <w:color w:val="548DD4" w:themeColor="text2" w:themeTint="99"/>
              </w:rPr>
            </w:pPr>
            <w:r w:rsidRPr="005452CD">
              <w:rPr>
                <w:b/>
                <w:color w:val="548DD4" w:themeColor="text2" w:themeTint="99"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F5504C">
        <w:rPr>
          <w:b/>
          <w:bCs/>
        </w:rPr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</w:t>
      </w:r>
      <w:r w:rsidR="005B6240" w:rsidRPr="00F5504C">
        <w:rPr>
          <w:highlight w:val="yellow"/>
        </w:rPr>
        <w:t xml:space="preserve">Instead of averaging the Loveland SWE in those N years, randomly grab N </w:t>
      </w:r>
      <w:r w:rsidR="00F54D08" w:rsidRPr="00F5504C">
        <w:rPr>
          <w:highlight w:val="yellow"/>
        </w:rPr>
        <w:t xml:space="preserve">Loveland </w:t>
      </w:r>
      <w:r w:rsidR="005B6240" w:rsidRPr="00F5504C">
        <w:rPr>
          <w:highlight w:val="yellow"/>
        </w:rPr>
        <w:t>SWE values and take their average.  Then</w:t>
      </w:r>
      <w:r w:rsidR="004231A6" w:rsidRPr="00F5504C">
        <w:rPr>
          <w:highlight w:val="yellow"/>
        </w:rPr>
        <w:t xml:space="preserve"> do this again, and again, and </w:t>
      </w:r>
      <w:r w:rsidR="005B6240" w:rsidRPr="00F5504C">
        <w:rPr>
          <w:highlight w:val="yellow"/>
        </w:rPr>
        <w:t>again 1000 times.</w:t>
      </w:r>
      <w:r w:rsidR="005B6240" w:rsidRPr="00C66BD6">
        <w:t xml:space="preserve">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50BDEAE7" w:rsidR="00CC33AA" w:rsidRPr="00C66BD6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  <w:r w:rsidR="00841C2A" w:rsidRPr="00841C2A">
        <w:rPr>
          <w:noProof/>
        </w:rPr>
        <w:drawing>
          <wp:inline distT="0" distB="0" distL="0" distR="0" wp14:anchorId="20E9830D" wp14:editId="6DB90588">
            <wp:extent cx="4851400" cy="3530600"/>
            <wp:effectExtent l="0" t="0" r="0" b="0"/>
            <wp:docPr id="1" name="Picture 1" descr="A picture containing org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514C" w14:textId="2AAAAAB9" w:rsidR="00E415BE" w:rsidRPr="0067568A" w:rsidRDefault="00CC33AA" w:rsidP="00CC33AA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C66BD6">
        <w:lastRenderedPageBreak/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30A01075" w:rsidR="00E415BE" w:rsidRPr="0067568A" w:rsidRDefault="00E415BE" w:rsidP="0067568A">
      <w:pPr>
        <w:rPr>
          <w:color w:val="1F497D" w:themeColor="text2"/>
        </w:rPr>
      </w:pPr>
    </w:p>
    <w:p w14:paraId="07A42AEE" w14:textId="7D645416" w:rsidR="0067568A" w:rsidRPr="005452CD" w:rsidRDefault="0067568A" w:rsidP="0067568A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>State the significance level – here I use 0.05</w:t>
      </w:r>
    </w:p>
    <w:p w14:paraId="71255379" w14:textId="530FCE97" w:rsidR="0067568A" w:rsidRPr="005452CD" w:rsidRDefault="0067568A" w:rsidP="0067568A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State the null hypothesis H0 – there is no statistical difference between the means of the El Nino years and the </w:t>
      </w:r>
      <w:r w:rsidR="00F55347" w:rsidRPr="005452CD">
        <w:rPr>
          <w:b/>
          <w:color w:val="548DD4" w:themeColor="text2" w:themeTint="99"/>
        </w:rPr>
        <w:t>population mean</w:t>
      </w:r>
      <w:r w:rsidRPr="005452CD">
        <w:rPr>
          <w:b/>
          <w:color w:val="548DD4" w:themeColor="text2" w:themeTint="99"/>
        </w:rPr>
        <w:t>, the alternative H1</w:t>
      </w:r>
      <w:r w:rsidR="00F55347" w:rsidRPr="005452CD">
        <w:rPr>
          <w:b/>
          <w:color w:val="548DD4" w:themeColor="text2" w:themeTint="99"/>
        </w:rPr>
        <w:t xml:space="preserve"> is that the means are statistically different.</w:t>
      </w:r>
    </w:p>
    <w:p w14:paraId="05B44CA7" w14:textId="56B681F3" w:rsidR="0067568A" w:rsidRPr="005452CD" w:rsidRDefault="0067568A" w:rsidP="0067568A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State the </w:t>
      </w:r>
      <w:r w:rsidR="00F55347" w:rsidRPr="005452CD">
        <w:rPr>
          <w:b/>
          <w:color w:val="548DD4" w:themeColor="text2" w:themeTint="99"/>
        </w:rPr>
        <w:t>statistic to be used and the assumptions required to use it – that the population data is normally distributed.</w:t>
      </w:r>
    </w:p>
    <w:p w14:paraId="32A41EB8" w14:textId="0B8531C3" w:rsidR="00F55347" w:rsidRPr="005452CD" w:rsidRDefault="00F55347" w:rsidP="0067568A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Critical region </w:t>
      </w:r>
      <w:proofErr w:type="gramStart"/>
      <w:r w:rsidRPr="005452CD">
        <w:rPr>
          <w:b/>
          <w:color w:val="548DD4" w:themeColor="text2" w:themeTint="99"/>
        </w:rPr>
        <w:t xml:space="preserve">- </w:t>
      </w:r>
      <w:r w:rsidR="00F5504C">
        <w:rPr>
          <w:b/>
          <w:color w:val="548DD4" w:themeColor="text2" w:themeTint="99"/>
        </w:rPr>
        <w:t>??</w:t>
      </w:r>
      <w:proofErr w:type="gramEnd"/>
    </w:p>
    <w:p w14:paraId="22138A7D" w14:textId="34A35DC7" w:rsidR="00F5504C" w:rsidRDefault="00F55347" w:rsidP="0067568A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Evaluate the statics and sate the conclusion </w:t>
      </w:r>
      <w:r w:rsidR="00F5504C">
        <w:rPr>
          <w:b/>
          <w:color w:val="548DD4" w:themeColor="text2" w:themeTint="99"/>
        </w:rPr>
        <w:t>–</w:t>
      </w:r>
    </w:p>
    <w:p w14:paraId="7A515EE0" w14:textId="3EA6C405" w:rsidR="003E6014" w:rsidRDefault="003E6014" w:rsidP="003E6014">
      <w:pPr>
        <w:pStyle w:val="ListParagrap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Probability of El Nino mean being different from entire population is 31.06% and just being smaller than the population is 15.53%. Neither of these values are significant at the 0.05 level so we fail to reject the null hypothesis. </w:t>
      </w:r>
      <w:proofErr w:type="gramStart"/>
      <w:r>
        <w:rPr>
          <w:b/>
          <w:color w:val="548DD4" w:themeColor="text2" w:themeTint="99"/>
        </w:rPr>
        <w:t>Similarly</w:t>
      </w:r>
      <w:proofErr w:type="gramEnd"/>
      <w:r>
        <w:rPr>
          <w:b/>
          <w:color w:val="548DD4" w:themeColor="text2" w:themeTint="99"/>
        </w:rPr>
        <w:t xml:space="preserve"> La Nina has values of 15.34%T and 7.67% so also we cannot reject the null hypothesis.</w:t>
      </w:r>
    </w:p>
    <w:p w14:paraId="086F2047" w14:textId="0FD2B918" w:rsidR="00F55347" w:rsidRPr="005452CD" w:rsidRDefault="00F55347" w:rsidP="00F5504C">
      <w:pPr>
        <w:pStyle w:val="ListParagraph"/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 </w:t>
      </w:r>
    </w:p>
    <w:p w14:paraId="315818CB" w14:textId="77777777" w:rsidR="0067568A" w:rsidRPr="00C66BD6" w:rsidRDefault="0067568A" w:rsidP="00EA42DC">
      <w:pPr>
        <w:jc w:val="both"/>
      </w:pPr>
    </w:p>
    <w:p w14:paraId="21D17202" w14:textId="1EBAB6F4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7C097EE3" w14:textId="1355B8EA" w:rsidR="003E6014" w:rsidRDefault="003E6014" w:rsidP="00EA42DC">
      <w:pPr>
        <w:jc w:val="both"/>
      </w:pPr>
    </w:p>
    <w:p w14:paraId="5AA39297" w14:textId="59166AB9" w:rsidR="003E6014" w:rsidRPr="003E6014" w:rsidRDefault="003E6014" w:rsidP="003E6014">
      <w:pPr>
        <w:rPr>
          <w:b/>
          <w:color w:val="548DD4" w:themeColor="text2" w:themeTint="99"/>
        </w:rPr>
      </w:pPr>
      <w:r w:rsidRPr="003E6014">
        <w:rPr>
          <w:b/>
          <w:color w:val="548DD4" w:themeColor="text2" w:themeTint="99"/>
        </w:rPr>
        <w:t>In order for the data to be significant at the 0.05 level we can do the following:</w:t>
      </w:r>
    </w:p>
    <w:p w14:paraId="1C0DA02C" w14:textId="53BB6D46" w:rsidR="00C54CC7" w:rsidRDefault="003E6014" w:rsidP="003E6014">
      <w:pPr>
        <w:pStyle w:val="ListParagraph"/>
        <w:numPr>
          <w:ilvl w:val="0"/>
          <w:numId w:val="5"/>
        </w:numPr>
        <w:rPr>
          <w:b/>
          <w:color w:val="548DD4" w:themeColor="text2" w:themeTint="99"/>
        </w:rPr>
      </w:pPr>
      <w:r w:rsidRPr="003E6014">
        <w:rPr>
          <w:b/>
          <w:color w:val="548DD4" w:themeColor="text2" w:themeTint="99"/>
        </w:rPr>
        <w:t>Have a looser definition of La Nina (0.5) so the single tailed probability</w:t>
      </w:r>
      <w:r>
        <w:rPr>
          <w:b/>
          <w:color w:val="548DD4" w:themeColor="text2" w:themeTint="99"/>
        </w:rPr>
        <w:t xml:space="preserve"> is 1.82% and two tailed is 3.63%. This allows us to conclude that the mean of the La Nina years is statistically different from the entire population</w:t>
      </w:r>
      <w:r w:rsidR="00E76C05">
        <w:rPr>
          <w:b/>
          <w:color w:val="548DD4" w:themeColor="text2" w:themeTint="99"/>
        </w:rPr>
        <w:t xml:space="preserve"> of snowfall depths.</w:t>
      </w:r>
    </w:p>
    <w:p w14:paraId="585BE999" w14:textId="6EF1A482" w:rsidR="00E76C05" w:rsidRDefault="00E76C05" w:rsidP="003E6014">
      <w:pPr>
        <w:pStyle w:val="ListParagraph"/>
        <w:numPr>
          <w:ilvl w:val="0"/>
          <w:numId w:val="5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Using a smaller bootstrap size e.g. 50 instead of 1000 makes the conclusions more significant. This is because the confidence interval is wider</w:t>
      </w:r>
    </w:p>
    <w:p w14:paraId="4740FFD8" w14:textId="77777777" w:rsidR="00E76C05" w:rsidRPr="003E6014" w:rsidRDefault="00E76C05" w:rsidP="00E76C05">
      <w:pPr>
        <w:pStyle w:val="ListParagraph"/>
        <w:rPr>
          <w:b/>
          <w:color w:val="548DD4" w:themeColor="text2" w:themeTint="99"/>
        </w:rPr>
      </w:pPr>
    </w:p>
    <w:p w14:paraId="30D80595" w14:textId="308D9774" w:rsidR="0012233C" w:rsidRDefault="00C54CC7" w:rsidP="00EA42DC">
      <w:pPr>
        <w:jc w:val="both"/>
      </w:pPr>
      <w:proofErr w:type="spellStart"/>
      <w:r>
        <w:t>4</w:t>
      </w:r>
      <w:proofErr w:type="spellEnd"/>
      <w:r>
        <w:t xml:space="preserve">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1CCE3CA1" w:rsidR="0012233C" w:rsidRPr="003A7166" w:rsidRDefault="003A7166" w:rsidP="00EA42DC">
      <w:pPr>
        <w:jc w:val="both"/>
        <w:rPr>
          <w:b/>
          <w:color w:val="548DD4" w:themeColor="text2" w:themeTint="99"/>
        </w:rPr>
      </w:pPr>
      <w:r w:rsidRPr="003A7166">
        <w:rPr>
          <w:b/>
          <w:color w:val="548DD4" w:themeColor="text2" w:themeTint="99"/>
        </w:rPr>
        <w:t>If we change the definition of La Nina to &lt;-0.5, then we find that the confidence interval at the 0.05 level does not contain 0 so the mean is statistically significantly below the mean of the whole population.</w:t>
      </w:r>
    </w:p>
    <w:p w14:paraId="3B6B9C8F" w14:textId="77777777" w:rsidR="006A66CB" w:rsidRPr="003A7166" w:rsidRDefault="006A66CB">
      <w:pPr>
        <w:rPr>
          <w:b/>
          <w:color w:val="548DD4" w:themeColor="text2" w:themeTint="99"/>
        </w:rPr>
      </w:pPr>
      <w:r w:rsidRPr="003A7166">
        <w:rPr>
          <w:b/>
          <w:color w:val="548DD4" w:themeColor="text2" w:themeTint="99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4BEDD2AC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normalized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C64F5B">
        <w:rPr>
          <w:rFonts w:ascii="Cambria" w:hAnsi="Cambria"/>
          <w:i/>
          <w:highlight w:val="yellow"/>
        </w:rPr>
        <w:t xml:space="preserve">note: only </w:t>
      </w:r>
      <w:r w:rsidR="00081D60" w:rsidRPr="00C64F5B">
        <w:rPr>
          <w:rFonts w:ascii="Cambria" w:hAnsi="Cambria"/>
          <w:i/>
          <w:highlight w:val="yellow"/>
        </w:rPr>
        <w:t xml:space="preserve">the original </w:t>
      </w:r>
      <w:r w:rsidR="0001375C" w:rsidRPr="00C64F5B">
        <w:rPr>
          <w:rFonts w:ascii="Cambria" w:hAnsi="Cambria"/>
          <w:i/>
          <w:highlight w:val="yellow"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3A7166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3EB773CC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D522CC">
        <w:t>Normalize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>lot a histogram of the normalized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1EE237E5" w14:textId="6E04E669" w:rsidR="0009322E" w:rsidRDefault="0009322E" w:rsidP="00F80C45">
      <w:pPr>
        <w:jc w:val="both"/>
      </w:pPr>
    </w:p>
    <w:p w14:paraId="0CBCAF3D" w14:textId="285B4A1E" w:rsidR="0009322E" w:rsidRPr="0009322E" w:rsidRDefault="0009322E" w:rsidP="0009322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09322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The 1850 PI control has a population mean of </w:t>
      </w:r>
      <w:r w:rsidRPr="0009322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287.11 K</w:t>
      </w:r>
      <w:r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 with a standard deviation of 0.1 K. Normalized the mean is 0 and standard deviation is 1. The distribution (red) appears Gaussian.</w:t>
      </w:r>
    </w:p>
    <w:p w14:paraId="4D08427B" w14:textId="55FB81BD" w:rsidR="0009322E" w:rsidRDefault="000F0643" w:rsidP="0009322E">
      <w:r w:rsidRPr="000F0643">
        <w:lastRenderedPageBreak/>
        <w:drawing>
          <wp:inline distT="0" distB="0" distL="0" distR="0" wp14:anchorId="6551447A" wp14:editId="69309D20">
            <wp:extent cx="5486400" cy="361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643">
        <w:rPr>
          <w:noProof/>
        </w:rPr>
        <w:t xml:space="preserve"> </w:t>
      </w:r>
      <w:r w:rsidRPr="000F0643">
        <w:drawing>
          <wp:inline distT="0" distB="0" distL="0" distR="0" wp14:anchorId="5DEC405C" wp14:editId="75E5A4A2">
            <wp:extent cx="5486400" cy="363918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731F" w14:textId="62A8D6AD" w:rsidR="0009322E" w:rsidRDefault="0009322E" w:rsidP="00F80C45">
      <w:pPr>
        <w:jc w:val="both"/>
      </w:pPr>
      <w:r w:rsidRPr="0009322E">
        <w:rPr>
          <w:b/>
          <w:color w:val="548DD4" w:themeColor="text2" w:themeTint="99"/>
        </w:rPr>
        <w:lastRenderedPageBreak/>
        <w:drawing>
          <wp:inline distT="0" distB="0" distL="0" distR="0" wp14:anchorId="0F5097E1" wp14:editId="4D19B36B">
            <wp:extent cx="5486400" cy="358648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643" w:rsidRPr="000F0643">
        <w:rPr>
          <w:noProof/>
        </w:rPr>
        <w:t xml:space="preserve"> </w:t>
      </w:r>
      <w:r w:rsidR="000F0643" w:rsidRPr="000F0643">
        <w:drawing>
          <wp:inline distT="0" distB="0" distL="0" distR="0" wp14:anchorId="281400AA" wp14:editId="3AC54ADB">
            <wp:extent cx="5486400" cy="3614420"/>
            <wp:effectExtent l="0" t="0" r="0" b="0"/>
            <wp:docPr id="5" name="Picture 5" descr="A picture containing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B5C" w14:textId="77777777" w:rsidR="00023277" w:rsidRDefault="00023277" w:rsidP="00F80C45">
      <w:pPr>
        <w:jc w:val="both"/>
      </w:pPr>
    </w:p>
    <w:p w14:paraId="3B03D3C2" w14:textId="17BD7B17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</w:t>
      </w:r>
      <w:r w:rsidR="003E1059">
        <w:lastRenderedPageBreak/>
        <w:t xml:space="preserve">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62071673" w14:textId="77777777" w:rsidR="000F0643" w:rsidRDefault="000F0643" w:rsidP="00F80C45">
      <w:pPr>
        <w:jc w:val="both"/>
      </w:pPr>
    </w:p>
    <w:p w14:paraId="45B71267" w14:textId="18809414" w:rsidR="000F0643" w:rsidRPr="005452CD" w:rsidRDefault="000F0643" w:rsidP="000F0643">
      <w:pPr>
        <w:pStyle w:val="ListParagraph"/>
        <w:numPr>
          <w:ilvl w:val="0"/>
          <w:numId w:val="4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>State the significance level – here I use 0.05</w:t>
      </w:r>
    </w:p>
    <w:p w14:paraId="1B49DB34" w14:textId="2317AE9D" w:rsidR="000F0643" w:rsidRPr="005452CD" w:rsidRDefault="000F0643" w:rsidP="000F0643">
      <w:pPr>
        <w:pStyle w:val="ListParagraph"/>
        <w:numPr>
          <w:ilvl w:val="0"/>
          <w:numId w:val="4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State the null hypothesis H0 – there is no statistical difference between the means of the </w:t>
      </w:r>
      <w:r>
        <w:rPr>
          <w:b/>
          <w:color w:val="548DD4" w:themeColor="text2" w:themeTint="99"/>
        </w:rPr>
        <w:t xml:space="preserve">PI control run and the selected modelled </w:t>
      </w:r>
      <w:r w:rsidRPr="005452CD">
        <w:rPr>
          <w:b/>
          <w:color w:val="548DD4" w:themeColor="text2" w:themeTint="99"/>
        </w:rPr>
        <w:t>years, the alternative H1 is that the means are statistically different.</w:t>
      </w:r>
    </w:p>
    <w:p w14:paraId="7B6B0EF0" w14:textId="601C5B52" w:rsidR="000F0643" w:rsidRPr="005452CD" w:rsidRDefault="000F0643" w:rsidP="000F0643">
      <w:pPr>
        <w:pStyle w:val="ListParagraph"/>
        <w:numPr>
          <w:ilvl w:val="0"/>
          <w:numId w:val="4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State the statistic to be used and the assumptions required to use it – that the population data </w:t>
      </w:r>
      <w:r>
        <w:rPr>
          <w:b/>
          <w:color w:val="548DD4" w:themeColor="text2" w:themeTint="99"/>
        </w:rPr>
        <w:t>are</w:t>
      </w:r>
      <w:r w:rsidRPr="005452CD">
        <w:rPr>
          <w:b/>
          <w:color w:val="548DD4" w:themeColor="text2" w:themeTint="99"/>
        </w:rPr>
        <w:t xml:space="preserve"> normally distributed.</w:t>
      </w:r>
    </w:p>
    <w:p w14:paraId="5528FE1A" w14:textId="3952CC46" w:rsidR="000F0643" w:rsidRPr="005452CD" w:rsidRDefault="000F0643" w:rsidP="000F0643">
      <w:pPr>
        <w:pStyle w:val="ListParagraph"/>
        <w:numPr>
          <w:ilvl w:val="0"/>
          <w:numId w:val="4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Critical region </w:t>
      </w:r>
      <w:proofErr w:type="gramStart"/>
      <w:r w:rsidRPr="005452CD">
        <w:rPr>
          <w:b/>
          <w:color w:val="548DD4" w:themeColor="text2" w:themeTint="99"/>
        </w:rPr>
        <w:t xml:space="preserve">- </w:t>
      </w:r>
      <w:r w:rsidR="009F7D94">
        <w:rPr>
          <w:b/>
          <w:color w:val="548DD4" w:themeColor="text2" w:themeTint="99"/>
        </w:rPr>
        <w:t>???</w:t>
      </w:r>
      <w:proofErr w:type="gramEnd"/>
    </w:p>
    <w:p w14:paraId="609AAA36" w14:textId="24DA7709" w:rsidR="00233CA2" w:rsidRDefault="000F0643" w:rsidP="00233CA2">
      <w:pPr>
        <w:pStyle w:val="ListParagraph"/>
        <w:numPr>
          <w:ilvl w:val="0"/>
          <w:numId w:val="4"/>
        </w:numPr>
        <w:rPr>
          <w:b/>
          <w:color w:val="548DD4" w:themeColor="text2" w:themeTint="99"/>
        </w:rPr>
      </w:pPr>
      <w:r w:rsidRPr="005452CD">
        <w:rPr>
          <w:b/>
          <w:color w:val="548DD4" w:themeColor="text2" w:themeTint="99"/>
        </w:rPr>
        <w:t xml:space="preserve">Evaluate the statics and sate the conclusion </w:t>
      </w:r>
      <w:r>
        <w:rPr>
          <w:b/>
          <w:color w:val="548DD4" w:themeColor="text2" w:themeTint="99"/>
        </w:rPr>
        <w:t>–</w:t>
      </w:r>
      <w:r w:rsidRPr="005452CD">
        <w:rPr>
          <w:b/>
          <w:color w:val="548DD4" w:themeColor="text2" w:themeTint="99"/>
        </w:rPr>
        <w:t xml:space="preserve"> </w:t>
      </w:r>
    </w:p>
    <w:p w14:paraId="6C156364" w14:textId="77777777" w:rsidR="00233CA2" w:rsidRPr="00233CA2" w:rsidRDefault="00233CA2" w:rsidP="00233CA2">
      <w:pPr>
        <w:pStyle w:val="ListParagraph"/>
        <w:rPr>
          <w:b/>
          <w:color w:val="548DD4" w:themeColor="tex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00"/>
        <w:gridCol w:w="900"/>
        <w:gridCol w:w="810"/>
        <w:gridCol w:w="900"/>
        <w:gridCol w:w="1440"/>
        <w:gridCol w:w="900"/>
        <w:gridCol w:w="1080"/>
      </w:tblGrid>
      <w:tr w:rsidR="00233CA2" w14:paraId="79596DA8" w14:textId="18F6BD16" w:rsidTr="00233CA2">
        <w:tc>
          <w:tcPr>
            <w:tcW w:w="1008" w:type="dxa"/>
          </w:tcPr>
          <w:p w14:paraId="55FA5E94" w14:textId="0D22D4D2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Start</w:t>
            </w:r>
          </w:p>
        </w:tc>
        <w:tc>
          <w:tcPr>
            <w:tcW w:w="900" w:type="dxa"/>
          </w:tcPr>
          <w:p w14:paraId="010B4330" w14:textId="3ADFC1B6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End</w:t>
            </w:r>
          </w:p>
        </w:tc>
        <w:tc>
          <w:tcPr>
            <w:tcW w:w="900" w:type="dxa"/>
          </w:tcPr>
          <w:p w14:paraId="281D3FBD" w14:textId="75B0C732" w:rsidR="00233CA2" w:rsidRDefault="00233CA2" w:rsidP="000F0643">
            <w:pPr>
              <w:rPr>
                <w:b/>
                <w:color w:val="548DD4" w:themeColor="text2" w:themeTint="99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548DD4" w:themeColor="text2" w:themeTint="99"/>
                  </w:rPr>
                  <m:t>μ</m:t>
                </m:r>
              </m:oMath>
            </m:oMathPara>
          </w:p>
        </w:tc>
        <w:tc>
          <w:tcPr>
            <w:tcW w:w="810" w:type="dxa"/>
          </w:tcPr>
          <w:p w14:paraId="0522EB17" w14:textId="38EDE2BD" w:rsidR="00233CA2" w:rsidRDefault="00233CA2" w:rsidP="000F0643">
            <w:pPr>
              <w:rPr>
                <w:b/>
                <w:color w:val="548DD4" w:themeColor="text2" w:themeTint="99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548DD4" w:themeColor="text2" w:themeTint="99"/>
                  </w:rPr>
                  <m:t>σ</m:t>
                </m:r>
              </m:oMath>
            </m:oMathPara>
          </w:p>
        </w:tc>
        <w:tc>
          <w:tcPr>
            <w:tcW w:w="900" w:type="dxa"/>
          </w:tcPr>
          <w:p w14:paraId="5ED70604" w14:textId="230DEC3A" w:rsidR="00233CA2" w:rsidRDefault="00233CA2" w:rsidP="000F0643">
            <w:pPr>
              <w:rPr>
                <w:rFonts w:ascii="Cambria" w:eastAsia="MS Mincho" w:hAnsi="Cambria" w:cs="Times New Roman"/>
                <w:b/>
                <w:color w:val="548DD4" w:themeColor="text2" w:themeTint="99"/>
              </w:rPr>
            </w:pPr>
            <w:r>
              <w:rPr>
                <w:rFonts w:ascii="Cambria" w:eastAsia="MS Mincho" w:hAnsi="Cambria" w:cs="Times New Roman"/>
                <w:b/>
                <w:color w:val="548DD4" w:themeColor="text2" w:themeTint="99"/>
              </w:rPr>
              <w:t>t-stat</w:t>
            </w:r>
          </w:p>
        </w:tc>
        <w:tc>
          <w:tcPr>
            <w:tcW w:w="1440" w:type="dxa"/>
          </w:tcPr>
          <w:p w14:paraId="105807E4" w14:textId="2CDE07FC" w:rsidR="00233CA2" w:rsidRDefault="00233CA2" w:rsidP="000F0643">
            <w:pPr>
              <w:rPr>
                <w:rFonts w:ascii="Cambria" w:eastAsia="MS Mincho" w:hAnsi="Cambria" w:cs="Times New Roman"/>
                <w:b/>
                <w:color w:val="548DD4" w:themeColor="text2" w:themeTint="99"/>
              </w:rPr>
            </w:pPr>
            <w:r>
              <w:rPr>
                <w:rFonts w:ascii="Cambria" w:eastAsia="MS Mincho" w:hAnsi="Cambria" w:cs="Times New Roman"/>
                <w:b/>
                <w:color w:val="548DD4" w:themeColor="text2" w:themeTint="99"/>
              </w:rPr>
              <w:t>t prob</w:t>
            </w:r>
          </w:p>
        </w:tc>
        <w:tc>
          <w:tcPr>
            <w:tcW w:w="900" w:type="dxa"/>
          </w:tcPr>
          <w:p w14:paraId="5E5E29BB" w14:textId="3976A3AB" w:rsidR="00233CA2" w:rsidRDefault="00233CA2" w:rsidP="000F0643">
            <w:pPr>
              <w:rPr>
                <w:rFonts w:ascii="Cambria" w:eastAsia="MS Mincho" w:hAnsi="Cambria" w:cs="Times New Roman"/>
                <w:b/>
                <w:color w:val="548DD4" w:themeColor="text2" w:themeTint="99"/>
              </w:rPr>
            </w:pPr>
            <w:r>
              <w:rPr>
                <w:rFonts w:ascii="Cambria" w:eastAsia="MS Mincho" w:hAnsi="Cambria" w:cs="Times New Roman"/>
                <w:b/>
                <w:color w:val="548DD4" w:themeColor="text2" w:themeTint="99"/>
              </w:rPr>
              <w:t>z-stat</w:t>
            </w:r>
          </w:p>
        </w:tc>
        <w:tc>
          <w:tcPr>
            <w:tcW w:w="1080" w:type="dxa"/>
          </w:tcPr>
          <w:p w14:paraId="4CC0A0FA" w14:textId="321E41D9" w:rsidR="00233CA2" w:rsidRDefault="00233CA2" w:rsidP="000F0643">
            <w:pPr>
              <w:rPr>
                <w:rFonts w:ascii="Cambria" w:eastAsia="MS Mincho" w:hAnsi="Cambria" w:cs="Times New Roman"/>
                <w:b/>
                <w:color w:val="548DD4" w:themeColor="text2" w:themeTint="99"/>
              </w:rPr>
            </w:pPr>
            <w:r>
              <w:rPr>
                <w:rFonts w:ascii="Cambria" w:eastAsia="MS Mincho" w:hAnsi="Cambria" w:cs="Times New Roman"/>
                <w:b/>
                <w:color w:val="548DD4" w:themeColor="text2" w:themeTint="99"/>
              </w:rPr>
              <w:t>z prob</w:t>
            </w:r>
          </w:p>
        </w:tc>
      </w:tr>
      <w:tr w:rsidR="00233CA2" w14:paraId="29D22DC4" w14:textId="14EC6233" w:rsidTr="00233CA2">
        <w:tc>
          <w:tcPr>
            <w:tcW w:w="1008" w:type="dxa"/>
          </w:tcPr>
          <w:p w14:paraId="76D0C4C5" w14:textId="11D528FD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1920</w:t>
            </w:r>
          </w:p>
        </w:tc>
        <w:tc>
          <w:tcPr>
            <w:tcW w:w="900" w:type="dxa"/>
          </w:tcPr>
          <w:p w14:paraId="4219B007" w14:textId="446BD03B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1950</w:t>
            </w:r>
          </w:p>
        </w:tc>
        <w:tc>
          <w:tcPr>
            <w:tcW w:w="900" w:type="dxa"/>
          </w:tcPr>
          <w:p w14:paraId="6E82DD1F" w14:textId="65E88C3D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0.07</w:t>
            </w:r>
          </w:p>
        </w:tc>
        <w:tc>
          <w:tcPr>
            <w:tcW w:w="810" w:type="dxa"/>
          </w:tcPr>
          <w:p w14:paraId="2D69F3A3" w14:textId="0BD4725C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0.82</w:t>
            </w:r>
          </w:p>
        </w:tc>
        <w:tc>
          <w:tcPr>
            <w:tcW w:w="900" w:type="dxa"/>
          </w:tcPr>
          <w:p w14:paraId="1E4E8BEC" w14:textId="0E27D98A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0.483</w:t>
            </w:r>
          </w:p>
        </w:tc>
        <w:tc>
          <w:tcPr>
            <w:tcW w:w="1440" w:type="dxa"/>
          </w:tcPr>
          <w:p w14:paraId="7ABAAE3F" w14:textId="77DF3BB7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31.64 %</w:t>
            </w:r>
          </w:p>
        </w:tc>
        <w:tc>
          <w:tcPr>
            <w:tcW w:w="900" w:type="dxa"/>
          </w:tcPr>
          <w:p w14:paraId="425E3768" w14:textId="0F596228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0.404</w:t>
            </w:r>
          </w:p>
        </w:tc>
        <w:tc>
          <w:tcPr>
            <w:tcW w:w="1080" w:type="dxa"/>
          </w:tcPr>
          <w:p w14:paraId="4B800E07" w14:textId="5FBD7EF6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34.31%</w:t>
            </w:r>
          </w:p>
        </w:tc>
      </w:tr>
      <w:tr w:rsidR="00233CA2" w14:paraId="40472C51" w14:textId="0AA6F1AC" w:rsidTr="00233CA2">
        <w:tc>
          <w:tcPr>
            <w:tcW w:w="1008" w:type="dxa"/>
          </w:tcPr>
          <w:p w14:paraId="7F3279E9" w14:textId="38D3665B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1980</w:t>
            </w:r>
          </w:p>
        </w:tc>
        <w:tc>
          <w:tcPr>
            <w:tcW w:w="900" w:type="dxa"/>
          </w:tcPr>
          <w:p w14:paraId="4E7BEB4F" w14:textId="1218D445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2010</w:t>
            </w:r>
          </w:p>
        </w:tc>
        <w:tc>
          <w:tcPr>
            <w:tcW w:w="900" w:type="dxa"/>
          </w:tcPr>
          <w:p w14:paraId="02FF25B9" w14:textId="290E93AF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3.27</w:t>
            </w:r>
          </w:p>
        </w:tc>
        <w:tc>
          <w:tcPr>
            <w:tcW w:w="810" w:type="dxa"/>
          </w:tcPr>
          <w:p w14:paraId="1156CC87" w14:textId="07590741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2.05</w:t>
            </w:r>
          </w:p>
        </w:tc>
        <w:tc>
          <w:tcPr>
            <w:tcW w:w="900" w:type="dxa"/>
          </w:tcPr>
          <w:p w14:paraId="1B4FB9CF" w14:textId="14D09F2D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8.59</w:t>
            </w:r>
          </w:p>
        </w:tc>
        <w:tc>
          <w:tcPr>
            <w:tcW w:w="1440" w:type="dxa"/>
          </w:tcPr>
          <w:p w14:paraId="480BAED8" w14:textId="167C348F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 xml:space="preserve">9.2 </w:t>
            </w:r>
            <w:r>
              <w:rPr>
                <w:b/>
                <w:color w:val="548DD4" w:themeColor="text2" w:themeTint="99"/>
              </w:rPr>
              <w:t>x10</w:t>
            </w:r>
            <w:r w:rsidRPr="00233CA2">
              <w:rPr>
                <w:b/>
                <w:color w:val="548DD4" w:themeColor="text2" w:themeTint="99"/>
                <w:vertAlign w:val="superscript"/>
              </w:rPr>
              <w:t>-</w:t>
            </w:r>
            <w:r>
              <w:rPr>
                <w:b/>
                <w:color w:val="548DD4" w:themeColor="text2" w:themeTint="99"/>
                <w:vertAlign w:val="superscript"/>
              </w:rPr>
              <w:t>8</w:t>
            </w:r>
            <w:r>
              <w:rPr>
                <w:b/>
                <w:color w:val="548DD4" w:themeColor="text2" w:themeTint="99"/>
                <w:vertAlign w:val="superscript"/>
              </w:rPr>
              <w:t xml:space="preserve"> </w:t>
            </w:r>
            <w:r>
              <w:rPr>
                <w:b/>
                <w:color w:val="548DD4" w:themeColor="text2" w:themeTint="99"/>
              </w:rPr>
              <w:t>%</w:t>
            </w:r>
          </w:p>
        </w:tc>
        <w:tc>
          <w:tcPr>
            <w:tcW w:w="900" w:type="dxa"/>
          </w:tcPr>
          <w:p w14:paraId="5E81BEB6" w14:textId="46168F11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17.93</w:t>
            </w:r>
          </w:p>
        </w:tc>
        <w:tc>
          <w:tcPr>
            <w:tcW w:w="1080" w:type="dxa"/>
          </w:tcPr>
          <w:p w14:paraId="4191FFC4" w14:textId="532FF56D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0.00%</w:t>
            </w:r>
          </w:p>
        </w:tc>
      </w:tr>
      <w:tr w:rsidR="00233CA2" w14:paraId="3410DC62" w14:textId="190DE975" w:rsidTr="00233CA2">
        <w:tc>
          <w:tcPr>
            <w:tcW w:w="1008" w:type="dxa"/>
          </w:tcPr>
          <w:p w14:paraId="057C01E3" w14:textId="21F34EE4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2020</w:t>
            </w:r>
          </w:p>
        </w:tc>
        <w:tc>
          <w:tcPr>
            <w:tcW w:w="900" w:type="dxa"/>
          </w:tcPr>
          <w:p w14:paraId="01610882" w14:textId="209AAE11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2029</w:t>
            </w:r>
          </w:p>
        </w:tc>
        <w:tc>
          <w:tcPr>
            <w:tcW w:w="900" w:type="dxa"/>
          </w:tcPr>
          <w:p w14:paraId="029008B2" w14:textId="40059E6E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11.06</w:t>
            </w:r>
          </w:p>
        </w:tc>
        <w:tc>
          <w:tcPr>
            <w:tcW w:w="810" w:type="dxa"/>
          </w:tcPr>
          <w:p w14:paraId="6AAA413F" w14:textId="64124744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0.87</w:t>
            </w:r>
          </w:p>
        </w:tc>
        <w:tc>
          <w:tcPr>
            <w:tcW w:w="900" w:type="dxa"/>
          </w:tcPr>
          <w:p w14:paraId="4DECFBD8" w14:textId="5ECFA0DE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35.89</w:t>
            </w:r>
          </w:p>
        </w:tc>
        <w:tc>
          <w:tcPr>
            <w:tcW w:w="1440" w:type="dxa"/>
          </w:tcPr>
          <w:p w14:paraId="33358159" w14:textId="0BBEEB41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2.0x10</w:t>
            </w:r>
            <w:r w:rsidRPr="00233CA2">
              <w:rPr>
                <w:b/>
                <w:color w:val="548DD4" w:themeColor="text2" w:themeTint="99"/>
                <w:vertAlign w:val="superscript"/>
              </w:rPr>
              <w:t>-</w:t>
            </w:r>
            <w:r>
              <w:rPr>
                <w:b/>
                <w:color w:val="548DD4" w:themeColor="text2" w:themeTint="99"/>
                <w:vertAlign w:val="superscript"/>
              </w:rPr>
              <w:t xml:space="preserve">9 </w:t>
            </w:r>
            <w:r>
              <w:rPr>
                <w:b/>
                <w:color w:val="548DD4" w:themeColor="text2" w:themeTint="99"/>
              </w:rPr>
              <w:t>%</w:t>
            </w:r>
          </w:p>
        </w:tc>
        <w:tc>
          <w:tcPr>
            <w:tcW w:w="900" w:type="dxa"/>
          </w:tcPr>
          <w:p w14:paraId="2E602436" w14:textId="4F4FB392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33.18</w:t>
            </w:r>
          </w:p>
        </w:tc>
        <w:tc>
          <w:tcPr>
            <w:tcW w:w="1080" w:type="dxa"/>
          </w:tcPr>
          <w:p w14:paraId="45C1EC85" w14:textId="1AC8A4FE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0.00%</w:t>
            </w:r>
          </w:p>
        </w:tc>
      </w:tr>
      <w:tr w:rsidR="00233CA2" w14:paraId="16F02265" w14:textId="3B9B7AF1" w:rsidTr="00233CA2">
        <w:tc>
          <w:tcPr>
            <w:tcW w:w="1008" w:type="dxa"/>
          </w:tcPr>
          <w:p w14:paraId="168BB32A" w14:textId="33846343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2060</w:t>
            </w:r>
          </w:p>
        </w:tc>
        <w:tc>
          <w:tcPr>
            <w:tcW w:w="900" w:type="dxa"/>
          </w:tcPr>
          <w:p w14:paraId="08650390" w14:textId="0FD9D1FD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2090</w:t>
            </w:r>
          </w:p>
        </w:tc>
        <w:tc>
          <w:tcPr>
            <w:tcW w:w="900" w:type="dxa"/>
          </w:tcPr>
          <w:p w14:paraId="264672B9" w14:textId="3AD3529F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34.56</w:t>
            </w:r>
          </w:p>
        </w:tc>
        <w:tc>
          <w:tcPr>
            <w:tcW w:w="810" w:type="dxa"/>
          </w:tcPr>
          <w:p w14:paraId="77ABDAA7" w14:textId="3A849BE5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4.51</w:t>
            </w:r>
          </w:p>
        </w:tc>
        <w:tc>
          <w:tcPr>
            <w:tcW w:w="900" w:type="dxa"/>
          </w:tcPr>
          <w:p w14:paraId="1A361360" w14:textId="52E9225F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41.29</w:t>
            </w:r>
          </w:p>
        </w:tc>
        <w:tc>
          <w:tcPr>
            <w:tcW w:w="1440" w:type="dxa"/>
          </w:tcPr>
          <w:p w14:paraId="47D9FD7B" w14:textId="6FA97C3B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0.00%</w:t>
            </w:r>
          </w:p>
        </w:tc>
        <w:tc>
          <w:tcPr>
            <w:tcW w:w="900" w:type="dxa"/>
          </w:tcPr>
          <w:p w14:paraId="48B6630B" w14:textId="04C4847E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189.3</w:t>
            </w:r>
          </w:p>
        </w:tc>
        <w:tc>
          <w:tcPr>
            <w:tcW w:w="1080" w:type="dxa"/>
          </w:tcPr>
          <w:p w14:paraId="56C8341C" w14:textId="01773FC1" w:rsidR="00233CA2" w:rsidRDefault="00233CA2" w:rsidP="000F0643">
            <w:pPr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0.00%</w:t>
            </w:r>
          </w:p>
        </w:tc>
      </w:tr>
    </w:tbl>
    <w:p w14:paraId="0BA41A7C" w14:textId="1A1FFE3A" w:rsidR="000F0643" w:rsidRDefault="00233CA2" w:rsidP="000F064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Only the period 1920-1950 has a mean that is </w:t>
      </w:r>
      <w:r w:rsidR="009F7D94">
        <w:rPr>
          <w:b/>
          <w:color w:val="548DD4" w:themeColor="text2" w:themeTint="99"/>
        </w:rPr>
        <w:t>not significantly different from the mean of the PI control to at the 0.05 level. This means that we fail to reject the null hypothesis.</w:t>
      </w:r>
    </w:p>
    <w:p w14:paraId="5868C884" w14:textId="61B5C89D" w:rsidR="009F7D94" w:rsidRPr="000F0643" w:rsidRDefault="009F7D94" w:rsidP="000F064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For the other periods (1980-2010, 2020-2029, 2060-2090) the means are significantly different from the PI control at the 0.05 level. This means that we accept H1.</w:t>
      </w:r>
    </w:p>
    <w:p w14:paraId="25466D76" w14:textId="77777777" w:rsidR="000F0643" w:rsidRPr="00C66BD6" w:rsidRDefault="000F0643" w:rsidP="00F80C45">
      <w:pPr>
        <w:jc w:val="both"/>
      </w:pPr>
    </w:p>
    <w:p w14:paraId="25EC845B" w14:textId="4687A665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5D0750BF" w14:textId="7CB1AA57" w:rsidR="003D515E" w:rsidRDefault="003D515E" w:rsidP="00530356">
      <w:pPr>
        <w:jc w:val="both"/>
      </w:pPr>
    </w:p>
    <w:p w14:paraId="7859FF2F" w14:textId="27BB621E" w:rsidR="003D515E" w:rsidRPr="003D515E" w:rsidRDefault="003D515E" w:rsidP="003D515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95% confidence limits - t-statistic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3.6095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3.6572</w:t>
      </w:r>
    </w:p>
    <w:p w14:paraId="7827188D" w14:textId="3ACBB80D" w:rsidR="003D515E" w:rsidRPr="003D515E" w:rsidRDefault="003D515E" w:rsidP="003D515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99% confidence limits - t-statistic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3.6013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3.6655</w:t>
      </w:r>
    </w:p>
    <w:p w14:paraId="4EE2D698" w14:textId="522D8F3A" w:rsidR="003D515E" w:rsidRPr="003D515E" w:rsidRDefault="003D515E" w:rsidP="003D515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95% confidence limits - z-statistic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3.6109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3.6558</w:t>
      </w:r>
    </w:p>
    <w:p w14:paraId="73B9A92D" w14:textId="74F1847C" w:rsidR="003D515E" w:rsidRPr="003D515E" w:rsidRDefault="003D515E" w:rsidP="003D515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99% confidence limits - z-statistic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3.6039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3.6629</w:t>
      </w:r>
    </w:p>
    <w:p w14:paraId="46E0CE94" w14:textId="70748187" w:rsidR="003D515E" w:rsidRDefault="003D515E" w:rsidP="00530356">
      <w:pPr>
        <w:jc w:val="both"/>
        <w:rPr>
          <w:b/>
          <w:color w:val="548DD4" w:themeColor="text2" w:themeTint="99"/>
        </w:rPr>
      </w:pPr>
    </w:p>
    <w:p w14:paraId="409A1B3E" w14:textId="52E461E4" w:rsidR="003D515E" w:rsidRDefault="003D515E" w:rsidP="00530356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 xml:space="preserve">Z and t statistics are almost identical, this is because number of members = 30. The 30 members have a nearly normal distribution, but appears slightly negatively skewed </w:t>
      </w:r>
    </w:p>
    <w:p w14:paraId="1F0D621A" w14:textId="612441FB" w:rsidR="003D515E" w:rsidRDefault="003D515E" w:rsidP="00530356">
      <w:pPr>
        <w:jc w:val="both"/>
        <w:rPr>
          <w:b/>
          <w:color w:val="548DD4" w:themeColor="text2" w:themeTint="99"/>
        </w:rPr>
      </w:pPr>
      <w:r w:rsidRPr="003D515E">
        <w:rPr>
          <w:b/>
          <w:color w:val="548DD4" w:themeColor="text2" w:themeTint="99"/>
        </w:rPr>
        <w:drawing>
          <wp:inline distT="0" distB="0" distL="0" distR="0" wp14:anchorId="4704143F" wp14:editId="4EC23F44">
            <wp:extent cx="2146300" cy="2080664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203" cy="20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0480" w14:textId="77777777" w:rsidR="003D515E" w:rsidRDefault="003D515E" w:rsidP="00530356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When we only include 6 members:</w:t>
      </w:r>
    </w:p>
    <w:p w14:paraId="59E1C4E5" w14:textId="23321386" w:rsidR="003D515E" w:rsidRPr="003D515E" w:rsidRDefault="003D515E" w:rsidP="003D515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95% confidence limits - t-statistic</w:t>
      </w:r>
      <w:r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3.521</w:t>
      </w:r>
      <w:r w:rsid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4</w:t>
      </w:r>
      <w:r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3.7557</w:t>
      </w:r>
    </w:p>
    <w:p w14:paraId="0EE215D7" w14:textId="4518778B" w:rsidR="00D841BA" w:rsidRDefault="003D515E" w:rsidP="00D841B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99% confidence limits - t-statistic</w:t>
      </w:r>
      <w:r w:rsid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3.51</w:t>
      </w:r>
      <w:r w:rsid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10, </w:t>
      </w:r>
      <w:r w:rsidRPr="003D515E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3.7661</w:t>
      </w:r>
      <w:r w:rsidR="00D841BA" w:rsidRPr="00D841BA">
        <w:rPr>
          <w:rFonts w:ascii="var(--jp-code-font-family)" w:hAnsi="var(--jp-code-font-family)"/>
        </w:rPr>
        <w:t xml:space="preserve"> </w:t>
      </w:r>
    </w:p>
    <w:p w14:paraId="0E448F6D" w14:textId="51BFE269" w:rsidR="00D841BA" w:rsidRPr="00D841BA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95% confidence limits - z-statistic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3.6084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3.6687</w:t>
      </w:r>
    </w:p>
    <w:p w14:paraId="7F7A3597" w14:textId="56AEF3AD" w:rsidR="00D841BA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99% confidence limits - z-statistic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3.599</w:t>
      </w:r>
      <w:r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0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D841BA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3.6782</w:t>
      </w:r>
    </w:p>
    <w:p w14:paraId="10C70812" w14:textId="3E8D544F" w:rsidR="00D841BA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</w:p>
    <w:p w14:paraId="4EE83643" w14:textId="4F3FEBAA" w:rsidR="00D841BA" w:rsidRPr="00D841BA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The z statistics is almost the same, but the t stat is much wider with the smaller sample size.</w:t>
      </w:r>
    </w:p>
    <w:p w14:paraId="4066C0A2" w14:textId="0E66F0D2" w:rsidR="003D515E" w:rsidRPr="003D515E" w:rsidRDefault="003D515E" w:rsidP="003D515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</w:p>
    <w:p w14:paraId="4A1BBCF4" w14:textId="5D8A3755" w:rsidR="003D515E" w:rsidRDefault="003D515E" w:rsidP="00530356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</w:t>
      </w:r>
      <w:r w:rsidR="00D841BA" w:rsidRPr="00D841BA">
        <w:rPr>
          <w:b/>
          <w:color w:val="548DD4" w:themeColor="text2" w:themeTint="99"/>
        </w:rPr>
        <w:drawing>
          <wp:inline distT="0" distB="0" distL="0" distR="0" wp14:anchorId="4E58AA47" wp14:editId="0DBF20DB">
            <wp:extent cx="1854200" cy="1781156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2480" cy="178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637" w14:textId="7060B457" w:rsidR="00D841BA" w:rsidRPr="003D515E" w:rsidRDefault="00D841BA" w:rsidP="00530356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With only 2 members:</w:t>
      </w:r>
    </w:p>
    <w:p w14:paraId="75A388FF" w14:textId="3762D7FD" w:rsidR="00D841BA" w:rsidRPr="004677B7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95% confidence limits - t-statistic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3.5799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3.7523</w:t>
      </w:r>
    </w:p>
    <w:p w14:paraId="65B2EC7E" w14:textId="6BA26759" w:rsidR="00D841BA" w:rsidRPr="004677B7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99% confidence limits - t-statistic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3.5619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3.7703</w:t>
      </w:r>
    </w:p>
    <w:p w14:paraId="1406C8D0" w14:textId="1DE78EFA" w:rsidR="00D841BA" w:rsidRPr="004677B7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95% confidence limits - z-statistic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3.6257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,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3.7065</w:t>
      </w:r>
    </w:p>
    <w:p w14:paraId="475053F6" w14:textId="13F24F9E" w:rsidR="00D841BA" w:rsidRPr="004677B7" w:rsidRDefault="00D841BA" w:rsidP="00D841BA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</w:pP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99% confidence limits - z-statistic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: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Low limit = 3.613</w:t>
      </w:r>
      <w:r w:rsid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 xml:space="preserve">0, </w:t>
      </w:r>
      <w:r w:rsidRPr="004677B7">
        <w:rPr>
          <w:rFonts w:asciiTheme="minorHAnsi" w:eastAsiaTheme="minorEastAsia" w:hAnsiTheme="minorHAnsi" w:cstheme="minorBidi"/>
          <w:b/>
          <w:color w:val="548DD4" w:themeColor="text2" w:themeTint="99"/>
          <w:sz w:val="24"/>
          <w:szCs w:val="24"/>
        </w:rPr>
        <w:t>High limit= 3.7191</w:t>
      </w:r>
    </w:p>
    <w:p w14:paraId="4E67713C" w14:textId="4A3D84B0" w:rsidR="00CE54A3" w:rsidRPr="003D515E" w:rsidRDefault="00CE54A3" w:rsidP="00EA42DC">
      <w:pPr>
        <w:jc w:val="both"/>
        <w:rPr>
          <w:b/>
          <w:color w:val="548DD4" w:themeColor="text2" w:themeTint="99"/>
        </w:rPr>
      </w:pPr>
    </w:p>
    <w:tbl>
      <w:tblPr>
        <w:tblW w:w="8360" w:type="dxa"/>
        <w:tblInd w:w="118" w:type="dxa"/>
        <w:tblLook w:val="04A0" w:firstRow="1" w:lastRow="0" w:firstColumn="1" w:lastColumn="0" w:noHBand="0" w:noVBand="1"/>
      </w:tblPr>
      <w:tblGrid>
        <w:gridCol w:w="800"/>
        <w:gridCol w:w="1265"/>
        <w:gridCol w:w="1265"/>
        <w:gridCol w:w="1250"/>
        <w:gridCol w:w="1265"/>
        <w:gridCol w:w="1265"/>
        <w:gridCol w:w="1250"/>
      </w:tblGrid>
      <w:tr w:rsidR="00F5504C" w:rsidRPr="00F5504C" w14:paraId="26940C02" w14:textId="77777777" w:rsidTr="00F5504C">
        <w:trPr>
          <w:trHeight w:val="700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C211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N mem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4F12D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95% t-low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50D83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95% t-high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41CF9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% diff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7A1C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95% z-low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17577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95% z-high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42248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% diff</w:t>
            </w:r>
          </w:p>
        </w:tc>
      </w:tr>
      <w:tr w:rsidR="00F5504C" w:rsidRPr="00F5504C" w14:paraId="26AFB735" w14:textId="77777777" w:rsidTr="00F5504C">
        <w:trPr>
          <w:trHeight w:val="34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7947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5662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3.6095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8D347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3.6572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375E" w14:textId="77777777" w:rsidR="00F5504C" w:rsidRPr="00F5504C" w:rsidRDefault="00F5504C" w:rsidP="00F5504C">
            <w:pPr>
              <w:ind w:firstLineChars="100" w:firstLine="201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1.322%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ECC32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3.6109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C52BC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3.6558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ED574" w14:textId="77777777" w:rsidR="00F5504C" w:rsidRPr="00F5504C" w:rsidRDefault="00F5504C" w:rsidP="00F5504C">
            <w:pPr>
              <w:ind w:firstLineChars="100" w:firstLine="201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1.243%</w:t>
            </w:r>
          </w:p>
        </w:tc>
      </w:tr>
      <w:tr w:rsidR="00F5504C" w:rsidRPr="00F5504C" w14:paraId="3981C3CC" w14:textId="77777777" w:rsidTr="00F5504C">
        <w:trPr>
          <w:trHeight w:val="34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42D98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E2AF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3.5214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60B78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3.7557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2E7C4" w14:textId="77777777" w:rsidR="00F5504C" w:rsidRPr="00F5504C" w:rsidRDefault="00F5504C" w:rsidP="00F5504C">
            <w:pPr>
              <w:ind w:firstLineChars="100" w:firstLine="201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6.654%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216B5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3.6084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DE2AF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3.6687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E57F8" w14:textId="77777777" w:rsidR="00F5504C" w:rsidRPr="00F5504C" w:rsidRDefault="00F5504C" w:rsidP="00F5504C">
            <w:pPr>
              <w:ind w:firstLineChars="100" w:firstLine="201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1.671%</w:t>
            </w:r>
          </w:p>
        </w:tc>
      </w:tr>
      <w:tr w:rsidR="00F5504C" w:rsidRPr="00F5504C" w14:paraId="4659B243" w14:textId="77777777" w:rsidTr="00F5504C">
        <w:trPr>
          <w:trHeight w:val="34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148F1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lastRenderedPageBreak/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82B9A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3.5799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D9BEC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3.7523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37292" w14:textId="77777777" w:rsidR="00F5504C" w:rsidRPr="00F5504C" w:rsidRDefault="00F5504C" w:rsidP="00F5504C">
            <w:pPr>
              <w:ind w:firstLineChars="100" w:firstLine="201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4.816%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F099B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3.6257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04C7B" w14:textId="77777777" w:rsidR="00F5504C" w:rsidRPr="00F5504C" w:rsidRDefault="00F5504C" w:rsidP="00F5504C">
            <w:pPr>
              <w:jc w:val="both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3.7065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30E56" w14:textId="77777777" w:rsidR="00F5504C" w:rsidRPr="00F5504C" w:rsidRDefault="00F5504C" w:rsidP="00F5504C">
            <w:pPr>
              <w:ind w:firstLineChars="100" w:firstLine="201"/>
              <w:rPr>
                <w:b/>
                <w:color w:val="548DD4" w:themeColor="text2" w:themeTint="99"/>
                <w:sz w:val="20"/>
                <w:szCs w:val="20"/>
              </w:rPr>
            </w:pPr>
            <w:r w:rsidRPr="00F5504C">
              <w:rPr>
                <w:b/>
                <w:color w:val="548DD4" w:themeColor="text2" w:themeTint="99"/>
                <w:sz w:val="20"/>
                <w:szCs w:val="20"/>
              </w:rPr>
              <w:t>2.229%</w:t>
            </w:r>
          </w:p>
        </w:tc>
      </w:tr>
    </w:tbl>
    <w:p w14:paraId="4C375245" w14:textId="77777777" w:rsidR="004677B7" w:rsidRDefault="004677B7" w:rsidP="00EA42DC">
      <w:pPr>
        <w:jc w:val="both"/>
        <w:rPr>
          <w:color w:val="FF0000"/>
        </w:rPr>
      </w:pPr>
    </w:p>
    <w:p w14:paraId="2921F717" w14:textId="27439E52" w:rsidR="007730B2" w:rsidRPr="00F5504C" w:rsidRDefault="007730B2" w:rsidP="00EA42DC">
      <w:pPr>
        <w:jc w:val="both"/>
        <w:rPr>
          <w:b/>
          <w:color w:val="548DD4" w:themeColor="text2" w:themeTint="99"/>
        </w:rPr>
      </w:pPr>
      <w:r w:rsidRPr="00F5504C">
        <w:rPr>
          <w:b/>
          <w:color w:val="548DD4" w:themeColor="text2" w:themeTint="99"/>
        </w:rPr>
        <w:t xml:space="preserve">When decreasing size of sample, should get a larger confidence interval. </w:t>
      </w:r>
    </w:p>
    <w:p w14:paraId="18D5C3D6" w14:textId="7A1896F1" w:rsidR="0028770E" w:rsidRPr="00023277" w:rsidRDefault="0028770E" w:rsidP="00EA42DC">
      <w:pPr>
        <w:jc w:val="both"/>
        <w:rPr>
          <w:color w:val="FF0000"/>
        </w:rPr>
      </w:pPr>
    </w:p>
    <w:sectPr w:rsidR="0028770E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38C66928"/>
    <w:lvl w:ilvl="0" w:tplc="8310A43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B146F"/>
    <w:multiLevelType w:val="hybridMultilevel"/>
    <w:tmpl w:val="2B360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B2D4D"/>
    <w:multiLevelType w:val="hybridMultilevel"/>
    <w:tmpl w:val="2B360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D3BF4"/>
    <w:multiLevelType w:val="hybridMultilevel"/>
    <w:tmpl w:val="5DAA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9322E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0643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3CA2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70E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56C4A"/>
    <w:rsid w:val="00366098"/>
    <w:rsid w:val="003672BD"/>
    <w:rsid w:val="0036733C"/>
    <w:rsid w:val="00372A4B"/>
    <w:rsid w:val="00377E69"/>
    <w:rsid w:val="00391091"/>
    <w:rsid w:val="003A323C"/>
    <w:rsid w:val="003A7166"/>
    <w:rsid w:val="003B174A"/>
    <w:rsid w:val="003B1CCF"/>
    <w:rsid w:val="003B7FEB"/>
    <w:rsid w:val="003C0452"/>
    <w:rsid w:val="003C10DE"/>
    <w:rsid w:val="003D2F56"/>
    <w:rsid w:val="003D515E"/>
    <w:rsid w:val="003D7054"/>
    <w:rsid w:val="003E1059"/>
    <w:rsid w:val="003E425B"/>
    <w:rsid w:val="003E6014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677B7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452CD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68A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730B2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1C2A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71159"/>
    <w:rsid w:val="00972FAE"/>
    <w:rsid w:val="00976ABC"/>
    <w:rsid w:val="00977156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9F7D94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4F5B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1BA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415BE"/>
    <w:rsid w:val="00E45EA7"/>
    <w:rsid w:val="00E46137"/>
    <w:rsid w:val="00E47996"/>
    <w:rsid w:val="00E5548C"/>
    <w:rsid w:val="00E611A9"/>
    <w:rsid w:val="00E636D6"/>
    <w:rsid w:val="00E64487"/>
    <w:rsid w:val="00E660C6"/>
    <w:rsid w:val="00E679B3"/>
    <w:rsid w:val="00E737E8"/>
    <w:rsid w:val="00E754DF"/>
    <w:rsid w:val="00E76C05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504C"/>
    <w:rsid w:val="00F55347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22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33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cc.nrcs.usda.gov/snow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9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Chris Wyburn-Powell</cp:lastModifiedBy>
  <cp:revision>594</cp:revision>
  <dcterms:created xsi:type="dcterms:W3CDTF">2017-04-26T17:29:00Z</dcterms:created>
  <dcterms:modified xsi:type="dcterms:W3CDTF">2020-09-03T21:47:00Z</dcterms:modified>
</cp:coreProperties>
</file>