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aps/>
          <w:color w:val="F26B00"/>
          <w:sz w:val="18"/>
        </w:rPr>
        <w:t>CONTOSO RETAIL</w:t>
      </w:r>
    </w:p>
    <w:p>
      <w:pPr>
        <w:spacing w:before="0" w:after="40"/>
      </w:pPr>
      <w:r>
        <w:rPr>
          <w:b/>
          <w:color w:val="003A70"/>
          <w:sz w:val="40"/>
        </w:rPr>
        <w:t>Incident &amp; Near-Miss Reporting Policy</w:t>
      </w:r>
    </w:p>
    <w:p>
      <w:pPr>
        <w:spacing w:before="0" w:after="120"/>
      </w:pPr>
      <w:r>
        <w:rPr>
          <w:i/>
          <w:color w:val="606060"/>
          <w:sz w:val="18"/>
        </w:rPr>
        <w:t>Version 1.0  |  Category: General  |  Audience: Team Member, Supervisor, Manager</w:t>
      </w:r>
    </w:p>
    <w:p>
      <w:pPr>
        <w:spacing w:before="40" w:after="40"/>
        <w:pBdr>
          <w:bottom w:val="single" w:sz="6" w:space="1" w:color="F26B00"/>
        </w:pBdr>
      </w:pPr>
    </w:p>
    <w:p>
      <w:pPr>
        <w:pStyle w:val="Heading1"/>
        <w:spacing w:before="240" w:after="80"/>
      </w:pPr>
      <w:r>
        <w:rPr>
          <w:color w:val="003A70"/>
          <w:sz w:val="26"/>
        </w:rPr>
        <w:t>Purpose</w:t>
      </w:r>
    </w:p>
    <w:p>
      <w:pPr>
        <w:spacing w:before="0" w:after="120"/>
      </w:pPr>
      <w:r>
        <w:rPr>
          <w:sz w:val="20"/>
        </w:rPr>
        <w:t>Contoso Retail requires all workplace incidents, injuries, illnesses, and near-misses to be reported promptly and accurately. Reporting enables us to provide proper medical care, fulfill legal obligations, and most importantly — identify root causes so we can prevent future incidents. This policy applies to all full-time, part-time, temporary, and contract workers on Contoso Retail premises.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What to Report</w:t>
      </w:r>
    </w:p>
    <w:p>
      <w:pPr>
        <w:spacing w:before="0" w:after="120"/>
      </w:pPr>
      <w:r>
        <w:rPr>
          <w:sz w:val="20"/>
        </w:rPr>
        <w:t>Report ALL of the following events, regardless of whether an injury or damage occurred:</w:t>
      </w:r>
    </w:p>
    <w:p>
      <w:pPr>
        <w:pStyle w:val="ListBullet"/>
        <w:spacing w:before="0" w:after="40"/>
      </w:pPr>
      <w:r>
        <w:rPr>
          <w:sz w:val="20"/>
        </w:rPr>
        <w:t>Any injury or illness that occurs in the workplace or while performing work-related activities.</w:t>
      </w:r>
    </w:p>
    <w:p>
      <w:pPr>
        <w:pStyle w:val="ListBullet"/>
        <w:spacing w:before="0" w:after="40"/>
      </w:pPr>
      <w:r>
        <w:rPr>
          <w:sz w:val="20"/>
        </w:rPr>
        <w:t>Near-misses: An unplanned event that did not result in injury or damage, but could have (e.g., a forklift stops short of striking a pedestrian, a load falls from racking but no one is nearby).</w:t>
      </w:r>
    </w:p>
    <w:p>
      <w:pPr>
        <w:pStyle w:val="ListBullet"/>
        <w:spacing w:before="0" w:after="40"/>
      </w:pPr>
      <w:r>
        <w:rPr>
          <w:sz w:val="20"/>
        </w:rPr>
        <w:t>Property damage: Damage to equipment, racking, vehicles, or the building caused by workplace activities.</w:t>
      </w:r>
    </w:p>
    <w:p>
      <w:pPr>
        <w:pStyle w:val="ListBullet"/>
        <w:spacing w:before="0" w:after="40"/>
      </w:pPr>
      <w:r>
        <w:rPr>
          <w:sz w:val="20"/>
        </w:rPr>
        <w:t>Security incidents: Theft, unauthorized access, or threatening behavior.</w:t>
      </w:r>
    </w:p>
    <w:p>
      <w:pPr>
        <w:pStyle w:val="ListBullet"/>
        <w:spacing w:before="0" w:after="40"/>
      </w:pPr>
      <w:r>
        <w:rPr>
          <w:sz w:val="20"/>
        </w:rPr>
        <w:t>Environmental releases: Chemical spills, fluid leaks that enter drains or the environment.</w:t>
      </w:r>
    </w:p>
    <w:p>
      <w:pPr>
        <w:spacing w:before="0" w:after="120"/>
      </w:pPr>
      <w:r>
        <w:rPr>
          <w:sz w:val="20"/>
        </w:rPr>
        <w:t>There is no minimum threshold for reporting. When in doubt, report it. Near-miss reporting is especially valued — team members who report near-misses are recognized, not penalized.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Reporting Timeline (24-Hour Rule)</w:t>
      </w:r>
    </w:p>
    <w:p>
      <w:pPr>
        <w:spacing w:before="0" w:after="120"/>
      </w:pPr>
      <w:r>
        <w:rPr>
          <w:sz w:val="20"/>
        </w:rPr>
        <w:t>All incidents must be reported within specific timeframes: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Incident Type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Report To</w:t>
            </w:r>
          </w:p>
        </w:tc>
        <w:tc>
          <w:tcPr>
            <w:tcW w:type="dxa" w:w="3120"/>
            <w:shd w:val="clear" w:color="auto" w:fill="003A70"/>
          </w:tcPr>
          <w:p>
            <w:r>
              <w:rPr>
                <w:b/>
                <w:color w:val="FFFFFF"/>
                <w:sz w:val="18"/>
              </w:rPr>
              <w:t>Deadline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Any injury requiring first aid or beyond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Supervisor verbally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Immediately (before continuing work)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Any injury (formal report)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Supervisor — Incident Report form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Before end of shift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Any near-miss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Supervisor or Warehouse Assistant agent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Within 24 hours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OSHA recordable injury/illness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Safety Coordinator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Before end of business day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Fatality or hospitalization of 3+ workers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OSHA (1-800-321-6742)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Within 8 hours (federal law)</w:t>
            </w:r>
          </w:p>
        </w:tc>
      </w:tr>
      <w:tr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Amputation, loss of eye, inpatient hospitalization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OSHA (1-800-321-6742)</w:t>
            </w:r>
          </w:p>
        </w:tc>
        <w:tc>
          <w:tcPr>
            <w:tcW w:type="dxa" w:w="3120"/>
            <w:shd w:val="clear" w:color="auto" w:fill="F5F5F5"/>
          </w:tcPr>
          <w:p>
            <w:r>
              <w:rPr>
                <w:sz w:val="18"/>
              </w:rPr>
              <w:t>Within 24 hours (federal law)</w:t>
            </w:r>
          </w:p>
        </w:tc>
      </w:tr>
    </w:tbl>
    <w:p>
      <w:pPr>
        <w:spacing w:after="80"/>
      </w:pPr>
    </w:p>
    <w:p>
      <w:pPr>
        <w:spacing w:before="0" w:after="120"/>
      </w:pPr>
      <w:r>
        <w:rPr>
          <w:sz w:val="20"/>
        </w:rPr>
        <w:t>State-specific reporting timelines for workers' compensation may be shorter than the above. Refer to your state's Workers' Compensation document for state-specific deadlines.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How to File an Incident Report</w:t>
      </w:r>
    </w:p>
    <w:p>
      <w:pPr>
        <w:pStyle w:val="ListNumber"/>
        <w:spacing w:before="0" w:after="40"/>
      </w:pPr>
      <w:r>
        <w:rPr>
          <w:sz w:val="20"/>
        </w:rPr>
        <w:t>Notify your supervisor verbally as soon as the incident occurs.</w:t>
      </w:r>
    </w:p>
    <w:p>
      <w:pPr>
        <w:pStyle w:val="ListNumber"/>
        <w:spacing w:before="0" w:after="40"/>
      </w:pPr>
      <w:r>
        <w:rPr>
          <w:sz w:val="20"/>
        </w:rPr>
        <w:t>Seek medical attention if needed. For life-threatening injuries, call 911 first.</w:t>
      </w:r>
    </w:p>
    <w:p>
      <w:pPr>
        <w:pStyle w:val="ListNumber"/>
        <w:spacing w:before="0" w:after="40"/>
      </w:pPr>
      <w:r>
        <w:rPr>
          <w:sz w:val="20"/>
        </w:rPr>
        <w:t>Preserve the incident scene — do not move equipment or clean up (unless preserving the scene poses an ongoing safety hazard) until the supervisor and Safety Coordinator have assessed it.</w:t>
      </w:r>
    </w:p>
    <w:p>
      <w:pPr>
        <w:pStyle w:val="ListNumber"/>
        <w:spacing w:before="0" w:after="40"/>
      </w:pPr>
      <w:r>
        <w:rPr>
          <w:sz w:val="20"/>
        </w:rPr>
        <w:t>Complete the paper Incident Report form (available at the supervisor station and Zone F safety board) with your supervisor within your shift.</w:t>
      </w:r>
    </w:p>
    <w:p>
      <w:pPr>
        <w:pStyle w:val="ListNumber"/>
        <w:spacing w:before="0" w:after="40"/>
      </w:pPr>
      <w:r>
        <w:rPr>
          <w:sz w:val="20"/>
        </w:rPr>
        <w:t>Alternatively, use the Warehouse Assistant agent to log a safety issue — the agent will collect all required fields and submit to the Safety Issue Log.</w:t>
      </w:r>
    </w:p>
    <w:p>
      <w:pPr>
        <w:pStyle w:val="ListNumber"/>
        <w:spacing w:before="0" w:after="40"/>
      </w:pPr>
      <w:r>
        <w:rPr>
          <w:sz w:val="20"/>
        </w:rPr>
        <w:t>The supervisor reviews the report for completeness and submits to the Safety Coordinator before end of shift.</w:t>
      </w:r>
    </w:p>
    <w:p>
      <w:pPr>
        <w:pStyle w:val="ListNumber"/>
        <w:spacing w:before="0" w:after="40"/>
      </w:pPr>
      <w:r>
        <w:rPr>
          <w:sz w:val="20"/>
        </w:rPr>
        <w:t>The Safety Coordinator determines if the incident is OSHA recordable and enters it into the OSHA 300 log if required.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Supervisor Responsibilities</w:t>
      </w:r>
    </w:p>
    <w:p>
      <w:pPr>
        <w:spacing w:before="0" w:after="120"/>
      </w:pPr>
      <w:r>
        <w:rPr>
          <w:sz w:val="20"/>
        </w:rPr>
        <w:t>When an incident is reported to a supervisor, they must:</w:t>
      </w:r>
    </w:p>
    <w:p>
      <w:pPr>
        <w:pStyle w:val="ListBullet"/>
        <w:spacing w:before="0" w:after="40"/>
      </w:pPr>
      <w:r>
        <w:rPr>
          <w:sz w:val="20"/>
        </w:rPr>
        <w:t>Ensure the injured worker receives appropriate medical care before any paperwork.</w:t>
      </w:r>
    </w:p>
    <w:p>
      <w:pPr>
        <w:pStyle w:val="ListBullet"/>
        <w:spacing w:before="0" w:after="40"/>
      </w:pPr>
      <w:r>
        <w:rPr>
          <w:sz w:val="20"/>
        </w:rPr>
        <w:t>Secure the incident scene and investigate root cause within 24 hours.</w:t>
      </w:r>
    </w:p>
    <w:p>
      <w:pPr>
        <w:pStyle w:val="ListBullet"/>
        <w:spacing w:before="0" w:after="40"/>
      </w:pPr>
      <w:r>
        <w:rPr>
          <w:sz w:val="20"/>
        </w:rPr>
        <w:t>Complete the Supervisor's Incident Investigation Report (SIIR) in addition to the employee's report.</w:t>
      </w:r>
    </w:p>
    <w:p>
      <w:pPr>
        <w:pStyle w:val="ListBullet"/>
        <w:spacing w:before="0" w:after="40"/>
      </w:pPr>
      <w:r>
        <w:rPr>
          <w:sz w:val="20"/>
        </w:rPr>
        <w:t>Identify at least 3 contributing factors and recommend corrective actions.</w:t>
      </w:r>
    </w:p>
    <w:p>
      <w:pPr>
        <w:pStyle w:val="ListBullet"/>
        <w:spacing w:before="0" w:after="40"/>
      </w:pPr>
      <w:r>
        <w:rPr>
          <w:sz w:val="20"/>
        </w:rPr>
        <w:t>Brief the incoming shift supervisor during the next handoff.</w:t>
      </w:r>
    </w:p>
    <w:p>
      <w:pPr>
        <w:pStyle w:val="ListBullet"/>
        <w:spacing w:before="0" w:after="40"/>
      </w:pPr>
      <w:r>
        <w:rPr>
          <w:sz w:val="20"/>
        </w:rPr>
        <w:t>Follow up with the injured worker within 48 hours regarding their condition and return-to-work status.</w:t>
      </w:r>
    </w:p>
    <w:p>
      <w:pPr>
        <w:pStyle w:val="ListBullet"/>
        <w:spacing w:before="0" w:after="40"/>
      </w:pPr>
      <w:r>
        <w:rPr>
          <w:sz w:val="20"/>
        </w:rPr>
        <w:t>Track corrective actions to completion — do not close an incident until all corrective actions are implemented.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OSHA Recordable Incidents</w:t>
      </w:r>
    </w:p>
    <w:p>
      <w:pPr>
        <w:spacing w:before="0" w:after="120"/>
      </w:pPr>
      <w:r>
        <w:rPr>
          <w:sz w:val="20"/>
        </w:rPr>
        <w:t>A work-related injury or illness is OSHA recordable if it results in any of the following:</w:t>
      </w:r>
    </w:p>
    <w:p>
      <w:pPr>
        <w:pStyle w:val="ListBullet"/>
        <w:spacing w:before="0" w:after="40"/>
      </w:pPr>
      <w:r>
        <w:rPr>
          <w:sz w:val="20"/>
        </w:rPr>
        <w:t>Days away from work.</w:t>
      </w:r>
    </w:p>
    <w:p>
      <w:pPr>
        <w:pStyle w:val="ListBullet"/>
        <w:spacing w:before="0" w:after="40"/>
      </w:pPr>
      <w:r>
        <w:rPr>
          <w:sz w:val="20"/>
        </w:rPr>
        <w:t>Restricted work or job transfer.</w:t>
      </w:r>
    </w:p>
    <w:p>
      <w:pPr>
        <w:pStyle w:val="ListBullet"/>
        <w:spacing w:before="0" w:after="40"/>
      </w:pPr>
      <w:r>
        <w:rPr>
          <w:sz w:val="20"/>
        </w:rPr>
        <w:t>Medical treatment beyond first aid.</w:t>
      </w:r>
    </w:p>
    <w:p>
      <w:pPr>
        <w:pStyle w:val="ListBullet"/>
        <w:spacing w:before="0" w:after="40"/>
      </w:pPr>
      <w:r>
        <w:rPr>
          <w:sz w:val="20"/>
        </w:rPr>
        <w:t>Loss of consciousness.</w:t>
      </w:r>
    </w:p>
    <w:p>
      <w:pPr>
        <w:pStyle w:val="ListBullet"/>
        <w:spacing w:before="0" w:after="40"/>
      </w:pPr>
      <w:r>
        <w:rPr>
          <w:sz w:val="20"/>
        </w:rPr>
        <w:t>Diagnosis of a significant injury or illness by a healthcare professional.</w:t>
      </w:r>
    </w:p>
    <w:p>
      <w:pPr>
        <w:pStyle w:val="ListBullet"/>
        <w:spacing w:before="0" w:after="40"/>
      </w:pPr>
      <w:r>
        <w:rPr>
          <w:sz w:val="20"/>
        </w:rPr>
        <w:t>Needlestick or sharps injury involving blood or other potentially infectious material.</w:t>
      </w:r>
    </w:p>
    <w:p>
      <w:pPr>
        <w:spacing w:before="0" w:after="120"/>
      </w:pPr>
      <w:r>
        <w:rPr>
          <w:sz w:val="20"/>
        </w:rPr>
        <w:t>First aid does NOT make an incident recordable. First aid examples: non-prescription medication at non-prescription strength, tetanus immunization, cleaning/flushing/soaking surface wounds, use of non-rigid means of support (bandages, elastic wrap), over-the-counter eye patches.</w:t>
      </w:r>
    </w:p>
    <w:p>
      <w:pPr>
        <w:spacing w:before="0" w:after="120"/>
      </w:pPr>
      <w:r>
        <w:rPr>
          <w:sz w:val="20"/>
        </w:rPr>
        <w:t>OSHA 300 logs are maintained by the Safety Coordinator and posted annually (February 1 – April 30) in the break room as required by law.</w:t>
      </w:r>
    </w:p>
    <w:p>
      <w:pPr>
        <w:pStyle w:val="Heading1"/>
        <w:spacing w:before="240" w:after="80"/>
      </w:pPr>
      <w:r>
        <w:rPr>
          <w:color w:val="003A70"/>
          <w:sz w:val="26"/>
        </w:rPr>
        <w:t>Non-Retaliation</w:t>
      </w:r>
    </w:p>
    <w:p>
      <w:pPr>
        <w:spacing w:before="0" w:after="120"/>
      </w:pPr>
      <w:r>
        <w:rPr>
          <w:sz w:val="20"/>
        </w:rPr>
        <w:t>Contoso Retail strictly prohibits any form of retaliation against team members who report injuries, illnesses, near-misses, or safety concerns. This includes but is not limited to: termination, demotion, reassignment, or disciplinary action taken in response to a safety report. Any suspected retaliation should be reported immediately to HR or the Warehouse Manager.</w:t>
      </w:r>
    </w:p>
    <w:p>
      <w:pPr>
        <w:spacing w:before="40" w:after="40"/>
        <w:pBdr>
          <w:bottom w:val="single" w:sz="6" w:space="1" w:color="F26B00"/>
        </w:pBdr>
      </w:pPr>
    </w:p>
    <w:p>
      <w:pPr>
        <w:spacing w:before="80"/>
      </w:pPr>
      <w:r>
        <w:rPr>
          <w:i/>
          <w:color w:val="808080"/>
          <w:sz w:val="16"/>
        </w:rPr>
        <w:t>Contoso Retail — Internal Use Only  |  Review annually or when regulations change  |  Questions? Contact your Warehouse Manager or Safety Coordinator.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