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line="480" w:lineRule="auto"/>
        <w:jc w:val="center"/>
      </w:pPr>
      <w:r>
        <w:rPr>
          <w:b/>
          <w:bCs/>
        </w:rPr>
        <w:t xml:space="preserve">Designing for Discovery: A Theory-Grounded Simulation for Experiential Learning of the Theory of Constraints in Operations Management Education</w:t>
      </w:r>
    </w:p>
    <w:p>
      <w:pPr>
        <w:spacing w:after="0" w:line="480" w:lineRule="auto"/>
        <w:jc w:val="center"/>
      </w:pPr>
      <w:r>
        <w:t xml:space="preserve">Christopher M. Scherpereel</w:t>
      </w:r>
    </w:p>
    <w:p>
      <w:pPr>
        <w:spacing w:after="0" w:line="480" w:lineRule="auto"/>
        <w:jc w:val="center"/>
      </w:pPr>
      <w:r>
        <w:t xml:space="preserve">W. A. Franke College of Business, Northern Arizona University</w:t>
      </w:r>
    </w:p>
    <w:p>
      <w:pPr>
        <w:spacing w:after="0" w:line="480" w:lineRule="auto"/>
        <w:jc w:val="center"/>
      </w:pPr>
      <w:r>
        <w:t xml:space="preserve">MGT 301: Operations Management</w:t>
      </w:r>
    </w:p>
    <w:p>
      <w:r>
        <w:br w:type="page"/>
      </w:r>
    </w:p>
    <w:p>
      <w:pPr>
        <w:spacing w:after="0" w:line="480" w:lineRule="auto"/>
        <w:jc w:val="center"/>
      </w:pPr>
      <w:r>
        <w:rPr>
          <w:b/>
          <w:bCs/>
        </w:rPr>
        <w:t xml:space="preserve">Abstract</w:t>
      </w:r>
    </w:p>
    <w:p>
      <w:pPr>
        <w:spacing w:after="0" w:line="480" w:lineRule="auto"/>
        <w:jc w:val="left"/>
      </w:pPr>
      <w:r>
        <w:t>Operations management asks students to reason about systems whose behavior is counterintuitive: local efficiency can reduce global throughput, adding inventory can lengthen lead time without adding output, and a fast workstation can be the true constraint when its quality is poor. Transmission-oriented instruction often leaves these ideas inert—recognized but not usable. This paper describes the design and development of Juicetification: Capacity Crush, a browser-based simulation that teaches the Theory of Constraints (TOC) and adjacent operations concepts through structured experiential learning. Building on the classic dice-game demonstration of dependent events and statistical fluctuations (Goldratt &amp; Cox, 2004), the simulation reframes a serial production line as a juice-bottling factory and layers on guided laboratories, open-ended design challenges, and an interleaved diagnostic capstone. Development is grounded in experiential learning theory (Kolb, 1984) and in a set of well-established learning-science mechanisms—the generation and prediction effects, elaborated corrective feedback, self-explanation, desirable difficulties and interleaving, productive failure, and retrieval practice. Each design feature is mapped to its theoretical rationale and situated within the literature on simulation-based management education. The paper argues that the artifact’s principal pedagogical contribution is the integration of multiple evidence-based mechanisms into a single, low-cost, instructor-controllable environment that carries learners through the full experiential cycle from concrete experience to active experimentation, while embedding reflection directly into the record of completion. Directions for empirical validation are outlined.</w:t>
      </w:r>
    </w:p>
    <w:p>
      <w:pPr>
        <w:spacing w:after="0" w:line="480" w:lineRule="auto"/>
        <w:ind w:firstLine="720"/>
        <w:jc w:val="left"/>
      </w:pPr>
      <w:r>
        <w:rPr>
          <w:i/>
          <w:iCs/>
        </w:rPr>
        <w:t xml:space="preserve">Keywords: </w:t>
      </w:r>
      <w:r>
        <w:t xml:space="preserve">experiential learning, Theory of Constraints, operations management education, simulation-based learning, active learning, self-explanation</w:t>
      </w:r>
    </w:p>
    <w:p>
      <w:r>
        <w:br w:type="page"/>
      </w:r>
    </w:p>
    <w:p>
      <w:pPr>
        <w:spacing w:after="0" w:line="480" w:lineRule="auto"/>
        <w:jc w:val="center"/>
      </w:pPr>
      <w:r>
        <w:rPr>
          <w:b/>
          <w:bCs/>
        </w:rPr>
        <w:t xml:space="preserve">Designing for Discovery: A Theory-Grounded Simulation for Experiential Learning of the Theory of Constraints in Operations Management Education</w:t>
      </w:r>
    </w:p>
    <w:p>
      <w:pPr>
        <w:spacing w:after="0" w:line="480" w:lineRule="auto"/>
        <w:ind w:firstLine="720"/>
        <w:jc w:val="left"/>
      </w:pPr>
      <w:r>
        <w:t xml:space="preserve">Operations management education confronts a persistent gap between conceptual coverage and usable understanding. Students can define a bottleneck, recite Little’s Law, and state the economic order quantity (EOQ) formula, yet fail to recognize the same principles when they are embedded in an unfamiliar setting or expressed as a design decision rather than a definition. The difficulty is not merely one of retention; many of the field’s central results are genuinely counterintuitive. The output of a balanced line falls below the average capacity of its stations because dependent events accumulate statistical fluctuations (Goldratt &amp; Cox, 2004); adding capacity to a non-constraint produces no additional throughput; capping work-in-process (WIP) shortens lead time without sacrificing output; and a fast workstation can be the binding constraint when much of what it makes is scrapped. Presented with such results in prose or lecture, novices frequently assimilate them to prior intuitions that are incorrect, and the misconception survives the examination.</w:t>
      </w:r>
    </w:p>
    <w:p>
      <w:pPr>
        <w:spacing w:after="0" w:line="480" w:lineRule="auto"/>
        <w:ind w:firstLine="720"/>
        <w:jc w:val="left"/>
      </w:pPr>
      <w:r>
        <w:t xml:space="preserve">A substantial body of evidence indicates that active, experiential approaches outperform transmission-oriented instruction for precisely this kind of learning. Large-scale and meta-analytic evidence shows that active learning raises performance and reduces failure rates across science, engineering, and mathematics courses (Freeman et al., 2014; Prince, 2004), and simulation-based methods are widely used in management education to compress cycles of decision and consequence that would otherwise unfold too slowly to instruct (Anderson &amp; Lawton, 2009; Faria et al., 2009; Salas et al., 2009). Yet the pedagogical value of a simulation is not automatic. Poorly designed games can entertain without teaching, permit success through undirected trial and error without ever eliciting an explanation, or overwhelm novices with extraneous complexity (Garris et al., 2002; Sweller, 1988). Whether a simulation yields durable, transferable understanding depends on how deliberately its interaction design engages the mechanisms known to drive learning.</w:t>
      </w:r>
    </w:p>
    <w:p>
      <w:pPr>
        <w:spacing w:after="0" w:line="480" w:lineRule="auto"/>
        <w:ind w:firstLine="720"/>
        <w:jc w:val="left"/>
      </w:pPr>
      <w:r>
        <w:t>This paper describes the design and development of one such simulation—Juicetification: Capacity Crush, a browser-based, juice-bottling reimagining of the Theory of Constraints (TOC) dice game—and makes its theoretical commitments explicit. The aim is not to report an efficacy trial but to articulate a design rationale: to show how each interaction pattern in the tool was chosen to activate a specific, evidence-based learning mechanism, and how those patterns together instantiate the experiential learning cycle. The paper proceeds in five movements. It first reviews the theoretical foundations—experiential learning and constructivism, simulation- and game-based learning in management education, and the learning-science mechanisms the design exploits. It then describes the simulation’s domain and architecture, before mapping each pedagogical feature to its theoretical basis. It next situates the whole against Kolb’s (1984) experiential cycle and states the contribution to experiential learning pedagogy. It closes with limitations and directions for empirical study. The central claim is that the artifact’s contribution lies less in any single feature than in the coherent integration of multiple, individually validated mechanisms into a single, low-cost, instructor-controllable environment.</w:t>
      </w:r>
    </w:p>
    <w:p>
      <w:pPr>
        <w:pStyle w:val="Heading1"/>
        <w:spacing w:after="0" w:before="240" w:line="480" w:lineRule="auto"/>
        <w:jc w:val="center"/>
      </w:pPr>
      <w:r>
        <w:rPr>
          <w:b/>
          <w:bCs/>
        </w:rPr>
        <w:t xml:space="preserve">Theoretical Foundations</w:t>
      </w:r>
    </w:p>
    <w:p>
      <w:pPr>
        <w:pStyle w:val="Heading2"/>
        <w:spacing w:after="0" w:before="200" w:line="480" w:lineRule="auto"/>
        <w:jc w:val="left"/>
      </w:pPr>
      <w:r>
        <w:rPr>
          <w:b/>
          <w:bCs/>
        </w:rPr>
        <w:t xml:space="preserve">Experiential Learning and Constructivism</w:t>
      </w:r>
    </w:p>
    <w:p>
      <w:pPr>
        <w:spacing w:after="0" w:line="480" w:lineRule="auto"/>
        <w:ind w:firstLine="720"/>
        <w:jc w:val="left"/>
      </w:pPr>
      <w:r>
        <w:t xml:space="preserve">The organizing framework for the design is Kolb’s (1984) theory of experiential learning, which represents learning as a recursive cycle through four modes: concrete experience, reflective observation, abstract conceptualization, and active experimentation. Knowledge, in this account, is created through the transformation of experience rather than transmitted intact from instructor to student, and durable learning requires movement through the entire cycle rather than residence in any one mode (Kolb &amp; Kolb, 2005). A lecture that supplies abstract conceptualization without concrete experience, or a game that supplies experience without reflection and conceptualization, each stalls the cycle. A well-designed simulation is attractive precisely because it can host all four modes in rapid succession: the learner acts, observes an outcome, is prompted to reflect and reconceptualize, and then experiments again under altered conditions.</w:t>
      </w:r>
    </w:p>
    <w:p>
      <w:pPr>
        <w:spacing w:after="0" w:line="480" w:lineRule="auto"/>
        <w:ind w:firstLine="720"/>
        <w:jc w:val="left"/>
      </w:pPr>
      <w:r>
        <w:t xml:space="preserve">This orientation is continuous with the broader constructivist tradition. For Piaget, understanding advances when a learner encounters a discrepancy between an existing schema and new experience, and resolves the resulting disequilibrium through accommodation; for Vygotsky (1978), learning is socially and instrumentally mediated, and instruction is most effective when it operates within the learner’s zone of proximal development through appropriate scaffolding. Both ideas are load-bearing in the present design. The simulation deliberately manufactures discrepancy—it invites a prediction that experience will often contradict—and it scaffolds the learner from tightly guided exercises toward increasingly open, unsupported problem solving, a trajectory consistent with situated accounts of learning as movement from peripheral to full participation in a practice (Lave &amp; Wenger, 1991).</w:t>
      </w:r>
    </w:p>
    <w:p>
      <w:pPr>
        <w:pStyle w:val="Heading2"/>
        <w:spacing w:after="0" w:before="200" w:line="480" w:lineRule="auto"/>
        <w:jc w:val="left"/>
      </w:pPr>
      <w:r>
        <w:rPr>
          <w:b/>
          <w:bCs/>
        </w:rPr>
        <w:t xml:space="preserve">Simulation- and Game-Based Learning in Management Education</w:t>
      </w:r>
    </w:p>
    <w:p>
      <w:pPr>
        <w:spacing w:after="0" w:line="480" w:lineRule="auto"/>
        <w:ind w:firstLine="720"/>
        <w:jc w:val="left"/>
      </w:pPr>
      <w:r>
        <w:t xml:space="preserve">Management education has a long tradition of using simulations to teach the behavior of complex, dynamic systems that resist intuition. Sterman (1994) argued that managers routinely misperceive feedback in such systems and that “management flight simulators”—interactive models that make the consequences of policies visible on a compressed timescale—are a powerful corrective, provided they are paired with explicit reflection that surfaces and repairs learners’ mental models. Reviews of business gaming over several decades document both its prevalence and its promise for cognitive learning outcomes, while cautioning that outcomes depend heavily on design and debrief rather than on the mere presence of a game (Anderson &amp; Lawton, 2009; Faria et al., 2009). Salas et al. (2009) synthesized the conditions under which simulation-based training enhances management learning, emphasizing guided practice, targeted feedback, and opportunities to reflect.</w:t>
      </w:r>
    </w:p>
    <w:p>
      <w:pPr>
        <w:spacing w:after="0" w:line="480" w:lineRule="auto"/>
        <w:ind w:firstLine="720"/>
        <w:jc w:val="left"/>
      </w:pPr>
      <w:r>
        <w:t xml:space="preserve">Game-based frameworks converge on the same conclusion from the motivational side. Garris et al. (2002) modeled instructional games as an iterative cycle of judgment, behavior, and feedback that must be wrapped in debriefing to convert engagement into learning, and Kiili (2005) explicitly fused game design with Kolb’s cycle in an “experiential gaming model,” locating the ideational and experiential loops of gameplay within the concrete–reflective–abstract–active sequence. The design reported here follows this consensus: engagement is treated as necessary but not sufficient, and every interactive moment is engineered to feed a reflective or conceptual one.</w:t>
      </w:r>
    </w:p>
    <w:p>
      <w:pPr>
        <w:pStyle w:val="Heading2"/>
        <w:spacing w:after="0" w:before="200" w:line="480" w:lineRule="auto"/>
        <w:jc w:val="left"/>
      </w:pPr>
      <w:r>
        <w:rPr>
          <w:b/>
          <w:bCs/>
        </w:rPr>
        <w:t xml:space="preserve">Learning-Science Mechanisms Leveraged by the Design</w:t>
      </w:r>
    </w:p>
    <w:p>
      <w:pPr>
        <w:spacing w:after="0" w:line="480" w:lineRule="auto"/>
        <w:ind w:firstLine="720"/>
        <w:jc w:val="left"/>
      </w:pPr>
      <w:r>
        <w:t xml:space="preserve">Beyond these frameworks, the design draws on a set of specific, well-replicated mechanisms from the science of learning. First, the generation effect holds that information a learner produces is remembered better than information merely read (Slamecka &amp; Graf, 1978); its pedagogical expression in science education is the predict–observe–explain sequence, in which committing to a prediction before observing an outcome deepens engagement and exposes misconceptions (White &amp; Gunstone, 1992). Second, self-explanation—articulating, in one’s own words, why a result holds—produces large gains in understanding and transfer, and much of its benefit derives from the act of generating the explanation rather than from its correctness (Chi et al., 1989).</w:t>
      </w:r>
    </w:p>
    <w:p>
      <w:pPr>
        <w:spacing w:after="0" w:line="480" w:lineRule="auto"/>
        <w:ind w:firstLine="720"/>
        <w:jc w:val="left"/>
      </w:pPr>
      <w:r>
        <w:t xml:space="preserve">Third, feedback is among the most powerful influences on achievement, but its effect depends on quality: elaborated, corrective feedback that addresses the specific error a learner has made outperforms mere verification of right or wrong (Hattie &amp; Timperley, 2007; Shute, 2008). A related literature on learning from errors shows that confidently held errors, once corrected, are especially likely to be remembered—the hypercorrection effect—so that surfacing and correcting confident mistakes is unusually productive (Metcalfe, 2017). Fourth, a family of “desirable difficulties” improves long-term retention and transfer even as it can depress performance during practice: interleaving different problem types rather than blocking them (Rohrer &amp; Taylor, 2007) and, more broadly, arranging conditions that require effortful discrimination (Bjork &amp; Bjork, 2011). Fifth, productive failure—having learners attempt a problem before instruction, so that their unsuccessful efforts prepare them to understand the canonical solution—yields deeper conceptual gains than direct instruction alone (Kapur, 2008). Sixth, retrieval practice, or the testing effect, shows that the act of retrieving information strengthens later retention more than restudying (Roediger &amp; Karpicke, 2006).</w:t>
      </w:r>
    </w:p>
    <w:p>
      <w:pPr>
        <w:spacing w:after="0" w:line="480" w:lineRule="auto"/>
        <w:ind w:firstLine="720"/>
        <w:jc w:val="left"/>
      </w:pPr>
      <w:r>
        <w:t xml:space="preserve">Finally, cognitive load theory constrains all of the above: working memory is sharply limited, and instruction succeeds only when extraneous load is minimized and the learner’s capacity is directed toward the germane processing that builds schemas (Sweller, 1988). The multimedia principles derived from this theory—coherence, signaling, and the segmenting of complex material into learner-controlled units—inform the interface (Mayer, 2009). Taken together, these mechanisms furnish a design vocabulary: they specify not merely that a simulation should be interactive, but precisely how each interaction should be structured.</w:t>
      </w:r>
    </w:p>
    <w:p>
      <w:pPr>
        <w:pStyle w:val="Heading1"/>
        <w:spacing w:after="0" w:before="240" w:line="480" w:lineRule="auto"/>
        <w:jc w:val="center"/>
      </w:pPr>
      <w:r>
        <w:rPr>
          <w:b/>
          <w:bCs/>
        </w:rPr>
        <w:t xml:space="preserve">The Simulation: Domain and Architecture</w:t>
      </w:r>
    </w:p>
    <w:p>
      <w:pPr>
        <w:pStyle w:val="Heading2"/>
        <w:spacing w:after="0" w:before="200" w:line="480" w:lineRule="auto"/>
        <w:jc w:val="left"/>
      </w:pPr>
      <w:r>
        <w:rPr>
          <w:b/>
          <w:bCs/>
        </w:rPr>
        <w:t xml:space="preserve">The Theory of Constraints and the Dice-Game Lineage</w:t>
      </w:r>
    </w:p>
    <w:p>
      <w:pPr>
        <w:spacing w:after="0" w:line="480" w:lineRule="auto"/>
        <w:ind w:firstLine="720"/>
        <w:jc w:val="left"/>
      </w:pPr>
      <w:r>
        <w:t xml:space="preserve">The simulation’s conceptual core is the Theory of Constraints, popularized in Goldratt and Cox’s (2004) business novel and expressed operationally in the Five Focusing Steps: identify the system’s constraint, decide how to exploit it, subordinate everything else to that decision, elevate the constraint, and—if the constraint is broken—return to the first step. The most durable classroom vehicle for this theory is Goldratt’s dice game, in which a line of players passes tokens down a chain, each player’s throughput limited by a die roll. The game makes a single, powerful point concrete: because the stations are dependent and each fluctuates statistically, the line’s output falls below the average capacity of its stations, and inventory accumulates in front of the slowest one. The demonstration is memorable but constrained by its physical form—it is slow to run, difficult to vary systematically, and hard to instrument for measurement.</w:t>
      </w:r>
    </w:p>
    <w:p>
      <w:pPr>
        <w:spacing w:after="0" w:line="480" w:lineRule="auto"/>
        <w:ind w:firstLine="720"/>
        <w:jc w:val="left"/>
      </w:pPr>
      <w:r>
        <w:t xml:space="preserve">Digitizing the dice game removes these constraints while preserving its causal transparency. A software model can run a year of production in an instant, expose every internal quantity, vary any parameter continuously, and—critically for pedagogy—wrap the raw experience in structured prompts, feedback, and assessment. The present tool exploits this affordance not to hide the mechanism behind a black box but to make it more legible: the same tokens-and-dice logic that students can verify by hand governs the simulated line.</w:t>
      </w:r>
    </w:p>
    <w:p>
      <w:pPr>
        <w:pStyle w:val="Heading2"/>
        <w:spacing w:after="0" w:before="200" w:line="480" w:lineRule="auto"/>
        <w:jc w:val="left"/>
      </w:pPr>
      <w:r>
        <w:rPr>
          <w:b/>
          <w:bCs/>
        </w:rPr>
        <w:t xml:space="preserve">A Juice-Bottling Line</w:t>
      </w:r>
    </w:p>
    <w:p>
      <w:pPr>
        <w:spacing w:after="0" w:line="480" w:lineRule="auto"/>
        <w:ind w:firstLine="720"/>
        <w:jc w:val="left"/>
      </w:pPr>
      <w:r>
        <w:t xml:space="preserve">The model represents a serial juice-bottling line of up to nine workstations. Each active station processes bottles at a rate set by a number of dice and the number of faces per die, so that its hourly capacity is a random draw whose mean and variance the learner controls directly; slowing a station by reducing its faces creates a bottleneck, and the dice make the statistical fluctuations at the heart of the dice game visible and tunable. Around this core, the engine implements the operational levers that connect TOC to the wider operations curriculum: unlimited or unreliable raw-material supply with a reorder point and service level; per-station work-in-process caps that convert a “push” line into a “pull” line; variable demand and finished-goods inventory; per-station scrap and yield, so that a fast station can be a hidden constraint; and the financial layer of throughput, operating expense, inventory investment, holding cost, and the economic order quantity. Each subsystem is implemented so that it is an exact no-op when disabled, which keeps the base dice-game behavior intact and lets each concept be introduced in isolation.</w:t>
      </w:r>
    </w:p>
    <w:p>
      <w:pPr>
        <w:spacing w:after="0" w:line="480" w:lineRule="auto"/>
        <w:ind w:firstLine="720"/>
        <w:jc w:val="left"/>
      </w:pPr>
      <w:r>
        <w:t xml:space="preserve">The tool runs in two modes. A Sandbox presents the full dashboard and every control for free exploration and instructor demonstration, including multi-year replications that reveal the distribution of outcomes rather than a single run. A Guided Lab mode sequences the concepts into directed exercises. The remainder of the paper concerns the Guided Lab mode, because it is there that the learning-science mechanisms are operationalized.</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1] </w:t>
      </w:r>
      <w:r>
        <w:rPr>
          <w:i/>
          <w:iCs/>
        </w:rPr>
        <w:t xml:space="preserve">The simulation dashboard and production line.</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A full-window screenshot of the Sandbox showing the nine-station line, the per-station dice controls, and the results panel (throughput, WIP, lead time, service level, yield). Caption: The juice-bottling line and its instrumented dashboard.</w:t>
      </w:r>
    </w:p>
    <w:p>
      <w:pPr>
        <w:spacing w:after="60"/>
      </w:pPr>
      <w:r>
        <w:t xml:space="preserve"/>
      </w:r>
    </w:p>
    <w:p>
      <w:pPr>
        <w:pStyle w:val="Heading1"/>
        <w:spacing w:after="0" w:before="240" w:line="480" w:lineRule="auto"/>
        <w:jc w:val="center"/>
      </w:pPr>
      <w:r>
        <w:rPr>
          <w:b/>
          <w:bCs/>
        </w:rPr>
        <w:t xml:space="preserve">Pedagogical Design Features and Their Theoretical Basis</w:t>
      </w:r>
    </w:p>
    <w:p>
      <w:pPr>
        <w:spacing w:after="0" w:line="480" w:lineRule="auto"/>
        <w:ind w:firstLine="720"/>
        <w:jc w:val="left"/>
      </w:pPr>
      <w:r>
        <w:t xml:space="preserve">The Guided Lab mode comprises a sequence of laboratories—covering the Five Focusing Steps, Little’s Law, push versus pull, variability, quality and yield, the line’s economics, throughput accounting, the EOQ and its drivers, and safety stock—followed by a diagnostic capstone. Within and across these laboratories, seven design features carry the theoretical load. Each is described below together with the mechanism it is intended to engage.</w:t>
      </w:r>
    </w:p>
    <w:p>
      <w:pPr>
        <w:pStyle w:val="Heading2"/>
        <w:spacing w:after="0" w:before="200" w:line="480" w:lineRule="auto"/>
        <w:jc w:val="left"/>
      </w:pPr>
      <w:r>
        <w:rPr>
          <w:b/>
          <w:bCs/>
        </w:rPr>
        <w:t xml:space="preserve">Predict–Run–Reveal Laboratory Steps</w:t>
      </w:r>
    </w:p>
    <w:p>
      <w:pPr>
        <w:spacing w:after="0" w:line="480" w:lineRule="auto"/>
        <w:ind w:firstLine="720"/>
        <w:jc w:val="left"/>
      </w:pPr>
      <w:r>
        <w:t xml:space="preserve">The atomic unit of the Guided Lab is a three-move cycle. The learner is first shown a scenario and asked to commit to a prediction—for example, whether doubling the speed of a non-constraint will raise annual output a lot, a little, not at all, or reduce it. Only after committing does the learner run the line and see the revealed result and an explanation. This structure is a direct implementation of predict–observe–explain (White &amp; Gunstone, 1992) and of the generation effect (Slamecka &amp; Graf, 1978): requiring a prediction converts passive reading into active commitment, and because many operations results are counterintuitive, the prediction frequently conflicts with the outcome. That conflict is the Piagetian disequilibrium the design seeks, and it is also a small instance of productive failure (Kapur, 2008), in that the learner’s incorrect anticipation prepares the ground for the canonical explanation. Mapped onto Kolb (1984), the prediction and its justification engage abstract conceptualization, the run supplies concrete experience, and the reveal invites reflective observation.</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2] </w:t>
      </w:r>
      <w:r>
        <w:rPr>
          <w:i/>
          <w:iCs/>
        </w:rPr>
        <w:t xml:space="preserve">A guided laboratory step (predict–run–reveal).</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Screenshot of a single lab step showing the scenario text, the prediction choices, the run button, and—after running—the revealed outcome. Caption: The predict–run–reveal cycle that structures every guided step.</w:t>
      </w:r>
    </w:p>
    <w:p>
      <w:pPr>
        <w:spacing w:after="60"/>
      </w:pPr>
      <w:r>
        <w:t xml:space="preserve"/>
      </w:r>
    </w:p>
    <w:p>
      <w:pPr>
        <w:pStyle w:val="Heading2"/>
        <w:spacing w:after="0" w:before="200" w:line="480" w:lineRule="auto"/>
        <w:jc w:val="left"/>
      </w:pPr>
      <w:r>
        <w:rPr>
          <w:b/>
          <w:bCs/>
        </w:rPr>
        <w:t xml:space="preserve">Distractor-Specific Feedback</w:t>
      </w:r>
    </w:p>
    <w:p>
      <w:pPr>
        <w:spacing w:after="0" w:line="480" w:lineRule="auto"/>
        <w:ind w:firstLine="720"/>
        <w:jc w:val="left"/>
      </w:pPr>
      <w:r>
        <w:t xml:space="preserve">When a learner predicts incorrectly, the tool does not merely mark the answer wrong; it returns a short explanation tailored to the specific distractor chosen—naming why that option is tempting and why it fails—before revealing what actually happened. A learner who attributes a fast, low-yield station’s poor output to its speed, for instance, is told that speed helps only if units survive, because the learner is counting attempts rather than good bottles. This design operationalizes the finding that elaborated, error-specific feedback outperforms simple verification (Hattie &amp; Timperley, 2007; Shute, 2008), and it is calibrated to the hypercorrection effect (Metcalfe, 2017): by targeting the precise misconception a confident learner holds, it corrects the belief most likely to have produced the error and most likely, once corrected, to be retained.</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3] </w:t>
      </w:r>
      <w:r>
        <w:rPr>
          <w:i/>
          <w:iCs/>
        </w:rPr>
        <w:t xml:space="preserve">Distractor-specific corrective feedback.</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Screenshot of the feedback shown after an incorrect prediction, displaying the tailored explanation for the chosen wrong option. Caption: Feedback targets the specific misconception behind each wrong answer.</w:t>
      </w:r>
    </w:p>
    <w:p>
      <w:pPr>
        <w:spacing w:after="60"/>
      </w:pPr>
      <w:r>
        <w:t xml:space="preserve"/>
      </w:r>
    </w:p>
    <w:p>
      <w:pPr>
        <w:pStyle w:val="Heading2"/>
        <w:spacing w:after="0" w:before="200" w:line="480" w:lineRule="auto"/>
        <w:jc w:val="left"/>
      </w:pPr>
      <w:r>
        <w:rPr>
          <w:b/>
          <w:bCs/>
        </w:rPr>
        <w:t xml:space="preserve">Numeric Estimation With Tolerance Bands</w:t>
      </w:r>
    </w:p>
    <w:p>
      <w:pPr>
        <w:spacing w:after="0" w:line="480" w:lineRule="auto"/>
        <w:ind w:firstLine="720"/>
        <w:jc w:val="left"/>
      </w:pPr>
      <w:r>
        <w:t xml:space="preserve">At several points the multiple-choice prediction is replaced by a request for a numeric estimate—of annual throughput, of the EOQ computed from its drivers, or of the service level a lean buffer will yield. The learner types a value, which is then graded within a tolerance band and displayed against the true value on a number line. Estimation is a stronger form of generation than selection among options: it requires the learner to reason quantitatively and to commit to a magnitude, and the visible gap between estimate and actual provides immediate, calibrated feedback that supports metacognitive accuracy (Chi et al., 1989; Shute, 2008). Because the estimate is entered before the run, the feature also preserves the predict-first architecture and its generation benefit.</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4] </w:t>
      </w:r>
      <w:r>
        <w:rPr>
          <w:i/>
          <w:iCs/>
        </w:rPr>
        <w:t xml:space="preserve">Numeric estimation with a tolerance band.</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Screenshot of a numeric-estimate step showing the learner’s typed value plotted on a number line against the actual value and the shaded tolerance band. Caption: Estimating a quantity forces quantitative reasoning and reveals calibration.</w:t>
      </w:r>
    </w:p>
    <w:p>
      <w:pPr>
        <w:spacing w:after="60"/>
      </w:pPr>
      <w:r>
        <w:t xml:space="preserve"/>
      </w:r>
    </w:p>
    <w:p>
      <w:pPr>
        <w:pStyle w:val="Heading2"/>
        <w:spacing w:after="0" w:before="200" w:line="480" w:lineRule="auto"/>
        <w:jc w:val="left"/>
      </w:pPr>
      <w:r>
        <w:rPr>
          <w:b/>
          <w:bCs/>
        </w:rPr>
        <w:t xml:space="preserve">Open-Ended Design Challenges</w:t>
      </w:r>
    </w:p>
    <w:p>
      <w:pPr>
        <w:spacing w:after="0" w:line="480" w:lineRule="auto"/>
        <w:ind w:firstLine="720"/>
        <w:jc w:val="left"/>
      </w:pPr>
      <w:r>
        <w:t xml:space="preserve">Each laboratory culminates in an open challenge that converts passive prediction into active design. Rather than choosing among supplied outcomes, the learner is given a target—for example, to redesign a line to finish at least four thousand bottles while holding average WIP below fifty—and a limited number of attempts, and must manipulate the controls to meet it. An automated check evaluates each attempt against every criterion and reports which targets were met. This is the active-experimentation phase of Kolb’s (1984) cycle made explicit, and it is a goal-based scenario in which the learner must assemble the lab’s concepts into a working solution. The bounded number of attempts, and the fact that the starting configuration deliberately fails, engineer a controlled experience of productive failure (Kapur, 2008): the learner’s early unsuccessful designs generate the very questions the target is meant to answer.</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5] </w:t>
      </w:r>
      <w:r>
        <w:rPr>
          <w:i/>
          <w:iCs/>
        </w:rPr>
        <w:t xml:space="preserve">An open-ended design challenge with an automated check.</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Screenshot of an end-of-lab challenge showing the goal, the pass/fail scoreboard for each target, and the remaining attempts. Caption: A design goal with an automated check turns prediction into active experimentation.</w:t>
      </w:r>
    </w:p>
    <w:p>
      <w:pPr>
        <w:spacing w:after="60"/>
      </w:pPr>
      <w:r>
        <w:t xml:space="preserve"/>
      </w:r>
    </w:p>
    <w:p>
      <w:pPr>
        <w:pStyle w:val="Heading2"/>
        <w:spacing w:after="0" w:before="200" w:line="480" w:lineRule="auto"/>
        <w:jc w:val="left"/>
      </w:pPr>
      <w:r>
        <w:rPr>
          <w:b/>
          <w:bCs/>
        </w:rPr>
        <w:t xml:space="preserve">The Interleaved Diagnostic Capstone</w:t>
      </w:r>
    </w:p>
    <w:p>
      <w:pPr>
        <w:spacing w:after="0" w:line="480" w:lineRule="auto"/>
        <w:ind w:firstLine="720"/>
        <w:jc w:val="left"/>
      </w:pPr>
      <w:r>
        <w:t xml:space="preserve">The final laboratory is a capstone whose design departs deliberately from the others. Every preceding lab announces its topic, so the learner knows in advance that a quality lab concerns yield and a safety-stock lab concerns buffers. On a real line, however, no one labels the problem; the essential professional skill is discrimination—deciding which lever matters when the cause is unknown. The capstone presents four broken lines whose symptoms must be read from the dashboard and diagnosed from the same four candidate causes each time—a capacity bottleneck, a low-yield station, an unreliable supplier, or runaway WIP—after which the learner must fix each. The four cases are constructed to leave distinct fingerprints (low output with clean supply and yield; low output with degraded service; low output with high scrap; and, most instructively, healthy output but enormous inventory), so that the learner cannot pattern-match and must instead reason from evidence.</w:t>
      </w:r>
    </w:p>
    <w:p>
      <w:pPr>
        <w:spacing w:after="0" w:line="480" w:lineRule="auto"/>
        <w:ind w:firstLine="720"/>
        <w:jc w:val="left"/>
      </w:pPr>
      <w:r>
        <w:t xml:space="preserve">This is a direct application of interleaving and desirable difficulty (Bjork &amp; Bjork, 2011; Rohrer &amp; Taylor, 2007). Blocking practice by topic, as the earlier labs do, builds fluency but can inflate a false sense of mastery, because the learner never has to decide which procedure applies. Interleaving depresses in-lab performance yet improves transfer, which is exactly the trade a capstone should make. The reveal for each case is withheld until the learner commits to a diagnosis, preserving the generation architecture, and each wrong diagnosis receives discrimination-focused feedback that points to the dashboard evidence ruling it out.</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6] </w:t>
      </w:r>
      <w:r>
        <w:rPr>
          <w:i/>
          <w:iCs/>
        </w:rPr>
        <w:t xml:space="preserve">A capstone diagnostic case.</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Screenshot of one “diagnose-and-fix” case showing the broken line’s dashboard and the four candidate causes the learner must choose among. Caption: The capstone interleaves all four failure modes, forcing diagnosis rather than pattern-matching.</w:t>
      </w:r>
    </w:p>
    <w:p>
      <w:pPr>
        <w:spacing w:after="60"/>
      </w:pPr>
      <w:r>
        <w:t xml:space="preserve"/>
      </w:r>
    </w:p>
    <w:p>
      <w:pPr>
        <w:pStyle w:val="Heading2"/>
        <w:spacing w:after="0" w:before="200" w:line="480" w:lineRule="auto"/>
        <w:jc w:val="left"/>
      </w:pPr>
      <w:r>
        <w:rPr>
          <w:b/>
          <w:bCs/>
        </w:rPr>
        <w:t xml:space="preserve">Embedded Self-Explanation Prompts</w:t>
      </w:r>
    </w:p>
    <w:p>
      <w:pPr>
        <w:spacing w:after="0" w:line="480" w:lineRule="auto"/>
        <w:ind w:firstLine="720"/>
        <w:jc w:val="left"/>
      </w:pPr>
      <w:r>
        <w:t xml:space="preserve">After the most counterintuitive reveals, and after each capstone diagnosis, the learner is asked to explain in one or two sentences why the result holds—for example, why doubling a non-constraint’s speed left output unchanged, or which single dashboard number gave a diagnosis away. These prompts operationalize the self-explanation effect (Chi et al., 1989): the act of putting the mechanism into one’s own words consolidates the schema, and because the benefit lies in generation rather than correctness, the responses are not graded for accuracy. To keep the practice from being skipped, the count of explanations written is folded into a tamper-evident completion code, so that a learner’s reflective effort is visible to the instructor without the responses themselves being scored. This couples the self-explanation and generation mechanisms to a lightweight formative-assessment record.</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7] </w:t>
      </w:r>
      <w:r>
        <w:rPr>
          <w:i/>
          <w:iCs/>
        </w:rPr>
        <w:t xml:space="preserve">An embedded self-explanation prompt.</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Screenshot of a reveal followed by the free-text “explain it” prompt. Caption: Learners self-explain each key result in their own words; the count is recorded in the completion code.</w:t>
      </w:r>
    </w:p>
    <w:p>
      <w:pPr>
        <w:spacing w:after="60"/>
      </w:pPr>
      <w:r>
        <w:t xml:space="preserve"/>
      </w:r>
    </w:p>
    <w:p>
      <w:pPr>
        <w:pStyle w:val="Heading2"/>
        <w:spacing w:after="0" w:before="200" w:line="480" w:lineRule="auto"/>
        <w:jc w:val="left"/>
      </w:pPr>
      <w:r>
        <w:rPr>
          <w:b/>
          <w:bCs/>
        </w:rPr>
        <w:t xml:space="preserve">Progress Tracking, Completion Records, and Load Management</w:t>
      </w:r>
    </w:p>
    <w:p>
      <w:pPr>
        <w:spacing w:after="0" w:line="480" w:lineRule="auto"/>
        <w:ind w:firstLine="720"/>
        <w:jc w:val="left"/>
      </w:pPr>
      <w:r>
        <w:t xml:space="preserve">Two further design commitments serve the mechanisms above rather than introducing new ones. First, a progress tracker records completed steps and generates a checksum-protected completion code that encodes per-laboratory completion, the number of self-explanations written, and a timestamp; the same code can be decoded by the instructor. Beyond its administrative use, the record operationalizes formative assessment as feedback to both learner and instructor (Hattie &amp; Timperley, 2007) and, by making retrieval and reflection the criterion for progress, aligns the incentive structure with the testing and self-explanation effects (Chi et al., 1989; Roediger &amp; Karpicke, 2006). Second, the interface is engineered to minimize extraneous cognitive load in the spirit of cognitive load theory and multimedia learning (Mayer, 2009; Sweller, 1988): each subsystem is revealed only when its laboratory requires it, terminology is glossed at first use, prose is written in plain language, and complex material is segmented into single, learner-paced steps. These choices protect the learner’s limited working memory for the germane task of building the target schema.</w:t>
      </w:r>
    </w:p>
    <w:p>
      <w:pPr>
        <w:pStyle w:val="Heading1"/>
        <w:spacing w:after="0" w:before="240" w:line="480" w:lineRule="auto"/>
        <w:jc w:val="center"/>
      </w:pPr>
      <w:r>
        <w:rPr>
          <w:b/>
          <w:bCs/>
        </w:rPr>
        <w:t xml:space="preserve">Alignment With the Experiential Learning Cycle</w:t>
      </w:r>
    </w:p>
    <w:p>
      <w:pPr>
        <w:spacing w:after="0" w:line="480" w:lineRule="auto"/>
        <w:ind w:firstLine="720"/>
        <w:jc w:val="left"/>
      </w:pPr>
      <w:r>
        <w:t xml:space="preserve">The features described above are not an arbitrary collection; together they carry the learner through a full turn of Kolb’s (1984) cycle within every laboratory step and across every laboratory. The prediction and its rationale engage abstract conceptualization, forcing the learner to apply a model before seeing the answer. Running the line supplies concrete experience on a compressed timescale, in the tradition of the management flight simulator (Sterman, 1994). The revealed outcome, the distractor-specific feedback, and the self-explanation prompt drive reflective observation, converting a bare result into an articulated understanding. The end-of-lab challenge and the diagnostic capstone then demand active experimentation, requiring the learner to test a design of their own and, in the capstone, to select the relevant concept without prompting. Because the cycle repeats with rising autonomy—from tightly scaffolded predictions to unlabeled diagnosis—the sequence also enacts the fading of support that constructivist and situated accounts prescribe (Lave &amp; Wenger, 1991; Vygotsky, 1978).</w:t>
      </w:r>
    </w:p>
    <w:p>
      <w:pPr>
        <w:pBdr>
          <w:top w:val="single" w:color="9AA6C0" w:sz="4" w:space="6"/>
          <w:bottom w:val="single" w:color="9AA6C0" w:sz="4" w:space="6"/>
          <w:left w:val="single" w:color="9AA6C0" w:sz="4" w:space="6"/>
          <w:right w:val="single" w:color="9AA6C0" w:sz="4" w:space="6"/>
        </w:pBdr>
        <w:shd w:fill="EEF2FF" w:val="clear"/>
        <w:spacing w:after="0" w:before="160" w:line="276" w:lineRule="auto"/>
      </w:pPr>
      <w:r>
        <w:rPr>
          <w:b/>
          <w:bCs/>
          <w:color w:val="3730A3"/>
        </w:rPr>
        <w:t xml:space="preserve">[Recommended Figure 8] </w:t>
      </w:r>
      <w:r>
        <w:rPr>
          <w:i/>
          <w:iCs/>
        </w:rPr>
        <w:t xml:space="preserve">Mapping of design features to Kolb’s experiential learning cycle.</w:t>
      </w:r>
    </w:p>
    <w:p>
      <w:pPr>
        <w:pBdr>
          <w:bottom w:val="single" w:color="9AA6C0" w:sz="4" w:space="6"/>
          <w:left w:val="single" w:color="9AA6C0" w:sz="4" w:space="6"/>
          <w:right w:val="single" w:color="9AA6C0" w:sz="4" w:space="6"/>
        </w:pBdr>
        <w:shd w:fill="EEF2FF" w:val="clear"/>
        <w:spacing w:after="0" w:before="0" w:line="276" w:lineRule="auto"/>
      </w:pPr>
      <w:r>
        <w:rPr>
          <w:b/>
          <w:bCs/>
          <w:sz w:val="20"/>
          <w:szCs w:val="20"/>
        </w:rPr>
        <w:t xml:space="preserve">Suggested source &amp; caption: </w:t>
      </w:r>
      <w:r>
        <w:rPr>
          <w:sz w:val="20"/>
          <w:szCs w:val="20"/>
        </w:rPr>
        <w:t xml:space="preserve">An author-produced diagram (not a screenshot) placing each feature—prediction, run, reveal and feedback, self-explanation, challenge, and capstone—on the concrete–reflective–abstract–active cycle. Caption: Each guided step traverses the full experiential cycle; autonomy increases across labs.</w:t>
      </w:r>
    </w:p>
    <w:p>
      <w:pPr>
        <w:spacing w:after="60"/>
      </w:pPr>
      <w:r>
        <w:t xml:space="preserve"/>
      </w:r>
    </w:p>
    <w:p>
      <w:pPr>
        <w:pStyle w:val="Heading1"/>
        <w:spacing w:after="0" w:before="240" w:line="480" w:lineRule="auto"/>
        <w:jc w:val="center"/>
      </w:pPr>
      <w:r>
        <w:rPr>
          <w:b/>
          <w:bCs/>
        </w:rPr>
        <w:t xml:space="preserve">Contribution to Experiential Learning Pedagogy</w:t>
      </w:r>
    </w:p>
    <w:p>
      <w:pPr>
        <w:spacing w:after="0" w:line="480" w:lineRule="auto"/>
        <w:ind w:firstLine="720"/>
        <w:jc w:val="left"/>
      </w:pPr>
      <w:r>
        <w:t xml:space="preserve">The contribution of this work is best understood as one of integration rather than invention. Each mechanism the tool employs is individually established in the learning-science literature, and digital business simulations are themselves long-standing (Faria et al., 2009). What is distinctive is the deliberate composition of these mechanisms into a single coherent artifact in which they reinforce one another: prediction sets up feedback, feedback sets up self-explanation, self-explanation prepares active design, and interleaving in the capstone forces the discrimination that blocked practice cannot teach. Many educational simulations engage one or two of these mechanisms—most commonly experience and, if the instructor supplies it, debrief—while leaving prediction, elaborated feedback, self-explanation, and interleaving to chance. Embedding all of them in the artifact makes the pedagogy reproducible across sections and independent of the individual instructor’s facilitation skill, a property that reviews of business gaming identify as decisive for learning outcomes (Anderson &amp; Lawton, 2009; Salas et al., 2009).</w:t>
      </w:r>
    </w:p>
    <w:p>
      <w:pPr>
        <w:spacing w:after="0" w:line="480" w:lineRule="auto"/>
        <w:ind w:firstLine="720"/>
        <w:jc w:val="left"/>
      </w:pPr>
      <w:r>
        <w:t xml:space="preserve">Three features are worth emphasizing as specific contributions to experiential practice in operations management. First, the interleaved diagnostic capstone operationalizes transfer as an explicit instructional target rather than a hoped-for by-product: by requiring learners to diagnose an unlabeled failure, it trains the discrimination skill that the siloed structure of a conventional course cannot. Second, embedding self-explanation into the record of completion resolves a chronic weakness of reflective pedagogy—that reflection is easily skipped—by making the generative act, though ungraded, a visible criterion for credit. Third, the tool is low-cost, runs in any browser, exposes rather than conceals its underlying mechanism, and gives the instructor full control over sequencing and difficulty, lowering the barrier to adopting a theory-faithful experiential design. Collectively, these features illustrate how the principles of experiential learning can be built into the structure of a tool rather than left to the facilitation around it.</w:t>
      </w:r>
    </w:p>
    <w:p>
      <w:pPr>
        <w:pStyle w:val="Heading1"/>
        <w:spacing w:after="0" w:before="240" w:line="480" w:lineRule="auto"/>
        <w:jc w:val="center"/>
      </w:pPr>
      <w:r>
        <w:rPr>
          <w:b/>
          <w:bCs/>
        </w:rPr>
        <w:t xml:space="preserve">Limitations and Future Directions</w:t>
      </w:r>
    </w:p>
    <w:p>
      <w:pPr>
        <w:spacing w:after="0" w:line="480" w:lineRule="auto"/>
        <w:ind w:firstLine="720"/>
        <w:jc w:val="left"/>
      </w:pPr>
      <w:r>
        <w:t xml:space="preserve">This paper advances a design argument, not an efficacy claim, and its principal limitation follows directly: the learning benefits described are predicted from theory, not yet demonstrated for this artifact. The mechanisms invoked are individually well supported, but their combined effect in this specific tool, with this student population, remains to be measured. A natural next step is a controlled study comparing the guided simulation against lecture-and-textbook coverage of the same concepts, with pre- and post-tests that separate near transfer (recognizing a principle in a new juice-bottling scenario) from far transfer (recognizing it in an unrelated service or healthcare setting), because the interleaved capstone predicts a specific advantage on transfer even if it depresses in-lab performance (Bjork &amp; Bjork, 2011; Kapur, 2008).</w:t>
      </w:r>
    </w:p>
    <w:p>
      <w:pPr>
        <w:spacing w:after="0" w:line="480" w:lineRule="auto"/>
        <w:ind w:firstLine="720"/>
        <w:jc w:val="left"/>
      </w:pPr>
      <w:r>
        <w:t xml:space="preserve">Several finer questions invite study. The self-explanation prompts are currently recorded but not analyzed; the free-text responses are a rich source of evidence about misconceptions and could be examined qualitatively or, given the author’s parallel work on structured evaluation of argumentation, assessed for the quality of the reasoning they contain. The optimal number of attempts on design challenges, and the calibration of tolerance bands on estimation items, are empirical parameters that could be tuned against learning rather than set by judgment. Finally, because the tool is instrumented, it can log the full trajectory of predictions, errors, and design attempts; these process data would allow the design claims made here to be tested against behavior rather than outcomes alone. The present contribution is to specify, clearly enough to be tested, why the tool should work.</w:t>
      </w:r>
    </w:p>
    <w:p>
      <w:pPr>
        <w:pStyle w:val="Heading1"/>
        <w:spacing w:after="0" w:before="240" w:line="480" w:lineRule="auto"/>
        <w:jc w:val="center"/>
      </w:pPr>
      <w:r>
        <w:rPr>
          <w:b/>
          <w:bCs/>
        </w:rPr>
        <w:t xml:space="preserve">Conclusion</w:t>
      </w:r>
    </w:p>
    <w:p>
      <w:pPr>
        <w:spacing w:after="0" w:line="480" w:lineRule="auto"/>
        <w:ind w:firstLine="720"/>
        <w:jc w:val="left"/>
      </w:pPr>
      <w:r>
        <w:t xml:space="preserve">Operations management is unusually rich in results that are simple to state and hard to believe, which makes it fertile ground for experiential instruction and unforgiving of instruction that merely tells. This paper has described a browser-based simulation that teaches the Theory of Constraints and its neighboring concepts by carrying learners through the full experiential cycle, and it has made explicit the theory behind each design choice: prediction and estimation to harness generation, elaborated and discrimination-focused feedback to repair specific misconceptions, self-explanation to consolidate understanding, open challenges and an interleaved capstone to drive active experimentation and transfer, and a load-conscious interface to keep the learner’s attention on what matters. The artifact’s contribution is the disciplined integration of these individually validated mechanisms into a single, reproducible, low-cost environment. Whether the integration delivers the learning gains its components promise is now an empirical question—one the tool was, in part, built to answer.</w:t>
      </w:r>
    </w:p>
    <w:p>
      <w:r>
        <w:br w:type="page"/>
      </w:r>
    </w:p>
    <w:p>
      <w:pPr>
        <w:pStyle w:val="Heading1"/>
        <w:spacing w:after="0" w:before="240" w:line="480" w:lineRule="auto"/>
        <w:jc w:val="center"/>
      </w:pPr>
      <w:r>
        <w:rPr>
          <w:b/>
          <w:bCs/>
        </w:rPr>
        <w:t xml:space="preserve">References</w:t>
      </w:r>
    </w:p>
    <w:p>
      <w:pPr>
        <w:spacing w:after="0" w:line="480" w:lineRule="auto"/>
        <w:ind w:left="720" w:hanging="720"/>
      </w:pPr>
      <w:r>
        <w:t xml:space="preserve">Anderson, P. H., &amp; Lawton, L. (2009). Business simulations and cognitive learning: Developments, desires, and future directions. </w:t>
      </w:r>
      <w:r>
        <w:rPr>
          <w:i/>
          <w:iCs/>
        </w:rPr>
        <w:t xml:space="preserve">Simulation &amp; Gaming, 40</w:t>
      </w:r>
      <w:r>
        <w:t xml:space="preserve">(2), 193–216.</w:t>
      </w:r>
    </w:p>
    <w:p>
      <w:pPr>
        <w:spacing w:after="0" w:line="480" w:lineRule="auto"/>
        <w:ind w:left="720" w:hanging="720"/>
      </w:pPr>
      <w:r>
        <w:t xml:space="preserve">Bjork, E. L., &amp; Bjork, R. A. (2011). Making things hard on yourself, but in a good way: Creating desirable difficulties to enhance learning. In M. A. Gernsbacher, R. W. Pew, L. M. Hough, &amp; J. R. Pomerantz (Eds.), </w:t>
      </w:r>
      <w:r>
        <w:rPr>
          <w:i/>
          <w:iCs/>
        </w:rPr>
        <w:t xml:space="preserve">Psychology and the real world: Essays illustrating fundamental contributions to society</w:t>
      </w:r>
      <w:r>
        <w:t xml:space="preserve"> (pp. 56–64). Worth Publishers.</w:t>
      </w:r>
    </w:p>
    <w:p>
      <w:pPr>
        <w:spacing w:after="0" w:line="480" w:lineRule="auto"/>
        <w:ind w:left="720" w:hanging="720"/>
      </w:pPr>
      <w:r>
        <w:t xml:space="preserve">Chi, M. T. H., Bassok, M., Lewis, M. W., Reimann, P., &amp; Glaser, R. (1989). Self-explanations: How students study and use examples in learning to solve problems. </w:t>
      </w:r>
      <w:r>
        <w:rPr>
          <w:i/>
          <w:iCs/>
        </w:rPr>
        <w:t xml:space="preserve">Cognitive Science, 13</w:t>
      </w:r>
      <w:r>
        <w:t xml:space="preserve">(2), 145–182.</w:t>
      </w:r>
    </w:p>
    <w:p>
      <w:pPr>
        <w:spacing w:after="0" w:line="480" w:lineRule="auto"/>
        <w:ind w:left="720" w:hanging="720"/>
      </w:pPr>
      <w:r>
        <w:t xml:space="preserve">Faria, A. J., Hutchinson, D., Wellington, W. J., &amp; Gold, S. (2009). Developments in business gaming: A review of the past 40 years. </w:t>
      </w:r>
      <w:r>
        <w:rPr>
          <w:i/>
          <w:iCs/>
        </w:rPr>
        <w:t xml:space="preserve">Simulation &amp; Gaming, 40</w:t>
      </w:r>
      <w:r>
        <w:t xml:space="preserve">(4), 464–487.</w:t>
      </w:r>
    </w:p>
    <w:p>
      <w:pPr>
        <w:spacing w:after="0" w:line="480" w:lineRule="auto"/>
        <w:ind w:left="720" w:hanging="720"/>
      </w:pPr>
      <w:r>
        <w:t xml:space="preserve">Freeman, S., Eddy, S. L., McDonough, M., Smith, M. K., Okoroafor, N., Jordt, H., &amp; Wenderoth, M. P. (2014). Active learning increases student performance in science, engineering, and mathematics. </w:t>
      </w:r>
      <w:r>
        <w:rPr>
          <w:i/>
          <w:iCs/>
        </w:rPr>
        <w:t xml:space="preserve">Proceedings of the National Academy of Sciences, 111</w:t>
      </w:r>
      <w:r>
        <w:t xml:space="preserve">(23), 8410–8415.</w:t>
      </w:r>
    </w:p>
    <w:p>
      <w:pPr>
        <w:spacing w:after="0" w:line="480" w:lineRule="auto"/>
        <w:ind w:left="720" w:hanging="720"/>
      </w:pPr>
      <w:r>
        <w:t xml:space="preserve">Garris, R., Ahlers, R., &amp; Driskell, J. E. (2002). Games, motivation, and learning: A research and practice model. </w:t>
      </w:r>
      <w:r>
        <w:rPr>
          <w:i/>
          <w:iCs/>
        </w:rPr>
        <w:t xml:space="preserve">Simulation &amp; Gaming, 33</w:t>
      </w:r>
      <w:r>
        <w:t xml:space="preserve">(4), 441–467.</w:t>
      </w:r>
    </w:p>
    <w:p>
      <w:pPr>
        <w:spacing w:after="0" w:line="480" w:lineRule="auto"/>
        <w:ind w:left="720" w:hanging="720"/>
      </w:pPr>
      <w:r>
        <w:t xml:space="preserve">Goldratt, E. M., &amp; Cox, J. (2004). </w:t>
      </w:r>
      <w:r>
        <w:rPr>
          <w:i/>
          <w:iCs/>
        </w:rPr>
        <w:t xml:space="preserve">The goal: A process of ongoing improvement</w:t>
      </w:r>
      <w:r>
        <w:t xml:space="preserve"> (3rd rev. ed.). North River Press. (Original work published 1984)</w:t>
      </w:r>
    </w:p>
    <w:p>
      <w:pPr>
        <w:spacing w:after="0" w:line="480" w:lineRule="auto"/>
        <w:ind w:left="720" w:hanging="720"/>
      </w:pPr>
      <w:r>
        <w:t xml:space="preserve">Hattie, J., &amp; Timperley, H. (2007). The power of feedback. </w:t>
      </w:r>
      <w:r>
        <w:rPr>
          <w:i/>
          <w:iCs/>
        </w:rPr>
        <w:t xml:space="preserve">Review of Educational Research, 77</w:t>
      </w:r>
      <w:r>
        <w:t xml:space="preserve">(1), 81–112.</w:t>
      </w:r>
    </w:p>
    <w:p>
      <w:pPr>
        <w:spacing w:after="0" w:line="480" w:lineRule="auto"/>
        <w:ind w:left="720" w:hanging="720"/>
      </w:pPr>
      <w:r>
        <w:t xml:space="preserve">Kapur, M. (2008). Productive failure. </w:t>
      </w:r>
      <w:r>
        <w:rPr>
          <w:i/>
          <w:iCs/>
        </w:rPr>
        <w:t xml:space="preserve">Cognition and Instruction, 26</w:t>
      </w:r>
      <w:r>
        <w:t xml:space="preserve">(3), 379–424.</w:t>
      </w:r>
    </w:p>
    <w:p>
      <w:pPr>
        <w:spacing w:after="0" w:line="480" w:lineRule="auto"/>
        <w:ind w:left="720" w:hanging="720"/>
      </w:pPr>
      <w:r>
        <w:t xml:space="preserve">Kiili, K. (2005). Digital game-based learning: Towards an experiential gaming model. </w:t>
      </w:r>
      <w:r>
        <w:rPr>
          <w:i/>
          <w:iCs/>
        </w:rPr>
        <w:t xml:space="preserve">The Internet and Higher Education, 8</w:t>
      </w:r>
      <w:r>
        <w:t xml:space="preserve">(1), 13–24.</w:t>
      </w:r>
    </w:p>
    <w:p>
      <w:pPr>
        <w:spacing w:after="0" w:line="480" w:lineRule="auto"/>
        <w:ind w:left="720" w:hanging="720"/>
      </w:pPr>
      <w:r>
        <w:t xml:space="preserve">Kolb, A. Y., &amp; Kolb, D. A. (2005). Learning styles and learning spaces: Enhancing experiential learning in higher education. </w:t>
      </w:r>
      <w:r>
        <w:rPr>
          <w:i/>
          <w:iCs/>
        </w:rPr>
        <w:t xml:space="preserve">Academy of Management Learning &amp; Education, 4</w:t>
      </w:r>
      <w:r>
        <w:t xml:space="preserve">(2), 193–212.</w:t>
      </w:r>
    </w:p>
    <w:p>
      <w:pPr>
        <w:spacing w:after="0" w:line="480" w:lineRule="auto"/>
        <w:ind w:left="720" w:hanging="720"/>
      </w:pPr>
      <w:r>
        <w:t xml:space="preserve">Kolb, D. A. (1984). </w:t>
      </w:r>
      <w:r>
        <w:rPr>
          <w:i/>
          <w:iCs/>
        </w:rPr>
        <w:t xml:space="preserve">Experiential learning: Experience as the source of learning and development</w:t>
      </w:r>
      <w:r>
        <w:t xml:space="preserve">. Prentice Hall.</w:t>
      </w:r>
    </w:p>
    <w:p>
      <w:pPr>
        <w:spacing w:after="0" w:line="480" w:lineRule="auto"/>
        <w:ind w:left="720" w:hanging="720"/>
      </w:pPr>
      <w:r>
        <w:t xml:space="preserve">Lave, J., &amp; Wenger, E. (1991). </w:t>
      </w:r>
      <w:r>
        <w:rPr>
          <w:i/>
          <w:iCs/>
        </w:rPr>
        <w:t xml:space="preserve">Situated learning: Legitimate peripheral participation</w:t>
      </w:r>
      <w:r>
        <w:t xml:space="preserve">. Cambridge University Press.</w:t>
      </w:r>
    </w:p>
    <w:p>
      <w:pPr>
        <w:spacing w:after="0" w:line="480" w:lineRule="auto"/>
        <w:ind w:left="720" w:hanging="720"/>
      </w:pPr>
      <w:r>
        <w:t xml:space="preserve">Mayer, R. E. (2009). </w:t>
      </w:r>
      <w:r>
        <w:rPr>
          <w:i/>
          <w:iCs/>
        </w:rPr>
        <w:t xml:space="preserve">Multimedia learning</w:t>
      </w:r>
      <w:r>
        <w:t xml:space="preserve"> (2nd ed.). Cambridge University Press.</w:t>
      </w:r>
    </w:p>
    <w:p>
      <w:pPr>
        <w:spacing w:after="0" w:line="480" w:lineRule="auto"/>
        <w:ind w:left="720" w:hanging="720"/>
      </w:pPr>
      <w:r>
        <w:t xml:space="preserve">Metcalfe, J. (2017). Learning from errors. </w:t>
      </w:r>
      <w:r>
        <w:rPr>
          <w:i/>
          <w:iCs/>
        </w:rPr>
        <w:t xml:space="preserve">Annual Review of Psychology, 68</w:t>
      </w:r>
      <w:r>
        <w:t xml:space="preserve">, 465–489.</w:t>
      </w:r>
    </w:p>
    <w:p>
      <w:pPr>
        <w:spacing w:after="0" w:line="480" w:lineRule="auto"/>
        <w:ind w:left="720" w:hanging="720"/>
      </w:pPr>
      <w:r>
        <w:t xml:space="preserve">Prince, M. (2004). Does active learning work? A review of the research. </w:t>
      </w:r>
      <w:r>
        <w:rPr>
          <w:i/>
          <w:iCs/>
        </w:rPr>
        <w:t xml:space="preserve">Journal of Engineering Education, 93</w:t>
      </w:r>
      <w:r>
        <w:t xml:space="preserve">(3), 223–231.</w:t>
      </w:r>
    </w:p>
    <w:p>
      <w:pPr>
        <w:spacing w:after="0" w:line="480" w:lineRule="auto"/>
        <w:ind w:left="720" w:hanging="720"/>
      </w:pPr>
      <w:r>
        <w:t xml:space="preserve">Roediger, H. L., III, &amp; Karpicke, J. D. (2006). Test-enhanced learning: Taking memory tests improves long-term retention. </w:t>
      </w:r>
      <w:r>
        <w:rPr>
          <w:i/>
          <w:iCs/>
        </w:rPr>
        <w:t xml:space="preserve">Psychological Science, 17</w:t>
      </w:r>
      <w:r>
        <w:t xml:space="preserve">(3), 249–255.</w:t>
      </w:r>
    </w:p>
    <w:p>
      <w:pPr>
        <w:spacing w:after="0" w:line="480" w:lineRule="auto"/>
        <w:ind w:left="720" w:hanging="720"/>
      </w:pPr>
      <w:r>
        <w:t xml:space="preserve">Rohrer, D., &amp; Taylor, K. (2007). The shuffling of mathematics problems improves learning. </w:t>
      </w:r>
      <w:r>
        <w:rPr>
          <w:i/>
          <w:iCs/>
        </w:rPr>
        <w:t xml:space="preserve">Instructional Science, 35</w:t>
      </w:r>
      <w:r>
        <w:t xml:space="preserve">(6), 481–498.</w:t>
      </w:r>
    </w:p>
    <w:p>
      <w:pPr>
        <w:spacing w:after="0" w:line="480" w:lineRule="auto"/>
        <w:ind w:left="720" w:hanging="720"/>
      </w:pPr>
      <w:r>
        <w:t xml:space="preserve">Salas, E., Wildman, J. L., &amp; Piccolo, R. F. (2009). Using simulation-based training to enhance management education. </w:t>
      </w:r>
      <w:r>
        <w:rPr>
          <w:i/>
          <w:iCs/>
        </w:rPr>
        <w:t xml:space="preserve">Academy of Management Learning &amp; Education, 8</w:t>
      </w:r>
      <w:r>
        <w:t xml:space="preserve">(4), 559–573.</w:t>
      </w:r>
    </w:p>
    <w:p>
      <w:pPr>
        <w:spacing w:after="0" w:line="480" w:lineRule="auto"/>
        <w:ind w:left="720" w:hanging="720"/>
      </w:pPr>
      <w:r>
        <w:t xml:space="preserve">Shute, V. J. (2008). Focus on formative feedback. </w:t>
      </w:r>
      <w:r>
        <w:rPr>
          <w:i/>
          <w:iCs/>
        </w:rPr>
        <w:t xml:space="preserve">Review of Educational Research, 78</w:t>
      </w:r>
      <w:r>
        <w:t xml:space="preserve">(1), 153–189.</w:t>
      </w:r>
    </w:p>
    <w:p>
      <w:pPr>
        <w:spacing w:after="0" w:line="480" w:lineRule="auto"/>
        <w:ind w:left="720" w:hanging="720"/>
      </w:pPr>
      <w:r>
        <w:t xml:space="preserve">Slamecka, N. J., &amp; Graf, P. (1978). The generation effect: Delineation of a phenomenon. </w:t>
      </w:r>
      <w:r>
        <w:rPr>
          <w:i/>
          <w:iCs/>
        </w:rPr>
        <w:t xml:space="preserve">Journal of Experimental Psychology: Human Learning and Memory, 4</w:t>
      </w:r>
      <w:r>
        <w:t xml:space="preserve">(6), 592–604.</w:t>
      </w:r>
    </w:p>
    <w:p>
      <w:pPr>
        <w:spacing w:after="0" w:line="480" w:lineRule="auto"/>
        <w:ind w:left="720" w:hanging="720"/>
      </w:pPr>
      <w:r>
        <w:t xml:space="preserve">Sterman, J. D. (1994). Learning in and about complex systems. </w:t>
      </w:r>
      <w:r>
        <w:rPr>
          <w:i/>
          <w:iCs/>
        </w:rPr>
        <w:t xml:space="preserve">System Dynamics Review, 10</w:t>
      </w:r>
      <w:r>
        <w:t xml:space="preserve">(2–3), 291–330.</w:t>
      </w:r>
    </w:p>
    <w:p>
      <w:pPr>
        <w:spacing w:after="0" w:line="480" w:lineRule="auto"/>
        <w:ind w:left="720" w:hanging="720"/>
      </w:pPr>
      <w:r>
        <w:t xml:space="preserve">Sweller, J. (1988). Cognitive load during problem solving: Effects on learning. </w:t>
      </w:r>
      <w:r>
        <w:rPr>
          <w:i/>
          <w:iCs/>
        </w:rPr>
        <w:t xml:space="preserve">Cognitive Science, 12</w:t>
      </w:r>
      <w:r>
        <w:t xml:space="preserve">(2), 257–285.</w:t>
      </w:r>
    </w:p>
    <w:p>
      <w:pPr>
        <w:spacing w:after="0" w:line="480" w:lineRule="auto"/>
        <w:ind w:left="720" w:hanging="720"/>
      </w:pPr>
      <w:r>
        <w:t xml:space="preserve">Vygotsky, L. S. (1978). </w:t>
      </w:r>
      <w:r>
        <w:rPr>
          <w:i/>
          <w:iCs/>
        </w:rPr>
        <w:t xml:space="preserve">Mind in society: The development of higher psychological processes</w:t>
      </w:r>
      <w:r>
        <w:t xml:space="preserve">. Harvard University Press.</w:t>
      </w:r>
    </w:p>
    <w:p>
      <w:pPr>
        <w:spacing w:after="0" w:line="480" w:lineRule="auto"/>
        <w:ind w:left="720" w:hanging="720"/>
      </w:pPr>
      <w:r>
        <w:t xml:space="preserve">White, R. T., &amp; Gunstone, R. F. (1992). </w:t>
      </w:r>
      <w:r>
        <w:rPr>
          <w:i/>
          <w:iCs/>
        </w:rPr>
        <w:t xml:space="preserve">Probing understanding</w:t>
      </w:r>
      <w:r>
        <w:t xml:space="preserve">. Falmer Press.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200" w:line="48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160" w:line="480" w:lineRule="auto"/>
      <w:jc w:val="left"/>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for Discovery</dc:title>
  <dc:creator>Christopher M. Scherpereel</dc:creator>
  <cp:lastModifiedBy>Un-named</cp:lastModifiedBy>
  <cp:revision>1</cp:revision>
  <dcterms:created xsi:type="dcterms:W3CDTF">2026-07-04T21:35:08.249Z</dcterms:created>
  <dcterms:modified xsi:type="dcterms:W3CDTF">2026-07-04T21:35:08.265Z</dcterms:modified>
</cp:coreProperties>
</file>

<file path=docProps/custom.xml><?xml version="1.0" encoding="utf-8"?>
<Properties xmlns="http://schemas.openxmlformats.org/officeDocument/2006/custom-properties" xmlns:vt="http://schemas.openxmlformats.org/officeDocument/2006/docPropsVTypes"/>
</file>