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40F0B">
      <w:pPr>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40F0B">
      <w:pPr>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40F0B">
      <w:pPr>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40F0B">
      <w:pPr>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310DA8" w:rsidRPr="00636A6D">
        <w:rPr>
          <w:lang w:val="de-DE"/>
        </w:rPr>
      </w:r>
      <w:r w:rsidR="00636A6D">
        <w:rPr>
          <w:lang w:val="de-DE"/>
        </w:rPr>
        <w:instrText xml:space="preserve"> \* MERGEFORMAT </w:instrText>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Maven Projekte aufbaut. Jede Komponente aus </w:t>
      </w:r>
      <w:r w:rsidR="00310DA8" w:rsidRPr="00636A6D">
        <w:rPr>
          <w:lang w:val="de-DE"/>
        </w:rPr>
        <w:fldChar w:fldCharType="begin"/>
      </w:r>
      <w:r w:rsidR="00310DA8" w:rsidRPr="00636A6D">
        <w:rPr>
          <w:lang w:val="de-DE"/>
        </w:rPr>
        <w:instrText xml:space="preserve"> REF _Ref469407765 \h </w:instrText>
      </w:r>
      <w:r w:rsidR="00310DA8" w:rsidRPr="00636A6D">
        <w:rPr>
          <w:lang w:val="de-DE"/>
        </w:rPr>
      </w:r>
      <w:r w:rsidR="00636A6D">
        <w:rPr>
          <w:lang w:val="de-DE"/>
        </w:rPr>
        <w:instrText xml:space="preserve"> \* MERGEFORMAT </w:instrText>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t>Server</w:t>
      </w:r>
    </w:p>
    <w:p w:rsidR="00EE1CEB" w:rsidRPr="00636A6D" w:rsidRDefault="00EE1CEB" w:rsidP="00EE1CEB">
      <w:pPr>
        <w:rPr>
          <w:lang w:val="de-DE"/>
        </w:rPr>
      </w:pPr>
    </w:p>
    <w:p w:rsidR="006940C0" w:rsidRPr="00636A6D" w:rsidRDefault="006940C0" w:rsidP="00EE1CEB">
      <w:pPr>
        <w:rPr>
          <w:lang w:val="de-DE"/>
        </w:rPr>
      </w:pPr>
      <w:r w:rsidRPr="00636A6D">
        <w:rPr>
          <w:lang w:val="de-DE"/>
        </w:rPr>
        <w:lastRenderedPageBreak/>
        <w:t>&lt;&lt;Model fehlt!!!&gt;&gt;</w:t>
      </w:r>
    </w:p>
    <w:p w:rsidR="004F0950" w:rsidRPr="00636A6D" w:rsidRDefault="0080571B" w:rsidP="004F0950">
      <w:pPr>
        <w:keepNext/>
      </w:pPr>
      <w:r w:rsidRPr="00636A6D">
        <w:rPr>
          <w:noProof/>
          <w:lang w:val="de-DE" w:eastAsia="de-DE"/>
        </w:rPr>
        <w:drawing>
          <wp:inline distT="0" distB="0" distL="0" distR="0" wp14:anchorId="4CDB23AD" wp14:editId="0DF47932">
            <wp:extent cx="3200400" cy="19570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95707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A6598C" w:rsidRPr="00636A6D">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80571B" w:rsidRPr="00636A6D" w:rsidRDefault="0080571B" w:rsidP="00EE1CEB">
      <w:pPr>
        <w:rPr>
          <w:lang w:val="de-DE"/>
        </w:rPr>
      </w:pPr>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A2652C" w:rsidRPr="00636A6D" w:rsidRDefault="00A2652C" w:rsidP="00D102B3">
      <w:pPr>
        <w:rPr>
          <w:lang w:val="de-DE"/>
        </w:rPr>
      </w:pPr>
      <w:r w:rsidRPr="00636A6D">
        <w:rPr>
          <w:lang w:val="de-DE"/>
        </w:rPr>
        <w:t>&lt;&lt;REST und JMS-Konnketor in Grapfik schreiben!!!&gt;&gt;</w:t>
      </w:r>
    </w:p>
    <w:p w:rsidR="004F0950" w:rsidRPr="00636A6D" w:rsidRDefault="0080571B" w:rsidP="004F0950">
      <w:pPr>
        <w:keepNext/>
      </w:pPr>
      <w:r w:rsidRPr="00636A6D">
        <w:rPr>
          <w:noProof/>
          <w:lang w:val="de-DE" w:eastAsia="de-DE"/>
        </w:rPr>
        <w:drawing>
          <wp:inline distT="0" distB="0" distL="0" distR="0" wp14:anchorId="76DA225E" wp14:editId="29655AA0">
            <wp:extent cx="3200400" cy="1600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A6598C" w:rsidRPr="00636A6D">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Pr="00636A6D"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2F6DA6" w:rsidRPr="00636A6D" w:rsidRDefault="002F6DA6" w:rsidP="006E07E6">
      <w:pPr>
        <w:jc w:val="both"/>
        <w:rPr>
          <w:lang w:val="de-DE"/>
        </w:rPr>
      </w:pPr>
    </w:p>
    <w:p w:rsidR="002F6DA6" w:rsidRPr="00636A6D" w:rsidRDefault="002F6DA6" w:rsidP="002F6DA6">
      <w:pPr>
        <w:rPr>
          <w:lang w:val="de-DE"/>
        </w:rPr>
      </w:pPr>
      <w:r w:rsidRPr="00636A6D">
        <w:rPr>
          <w:lang w:val="de-DE"/>
        </w:rPr>
        <w:t>&lt;&lt;REST und JMS-Konnketor in Grapfik schreiben!!!&gt;&gt;</w:t>
      </w: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400" cy="18218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40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A6598C" w:rsidRPr="00636A6D">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760126" w:rsidRPr="00636A6D" w:rsidRDefault="00760126" w:rsidP="00760126">
      <w:pPr>
        <w:rPr>
          <w:lang w:val="de-DE"/>
        </w:rPr>
      </w:pPr>
    </w:p>
    <w:p w:rsidR="00355199" w:rsidRPr="00EC2D65" w:rsidRDefault="00355199" w:rsidP="00355199">
      <w:pPr>
        <w:rPr>
          <w:lang w:val="de-DE"/>
        </w:rPr>
      </w:pPr>
      <w:r w:rsidRPr="00636A6D">
        <w:rPr>
          <w:lang w:val="de-DE"/>
        </w:rPr>
        <w:t>&lt;&lt;Datenmodell&gt;&gt;</w:t>
      </w:r>
    </w:p>
    <w:p w:rsidR="00355199" w:rsidRPr="000A5242" w:rsidRDefault="00355199"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F84C54" w:rsidRPr="00636A6D" w:rsidRDefault="00F84C54" w:rsidP="00F84C54">
      <w:pPr>
        <w:rPr>
          <w:lang w:val="de-DE"/>
        </w:rPr>
      </w:pPr>
      <w:r w:rsidRPr="00636A6D">
        <w:rPr>
          <w:lang w:val="de-DE"/>
        </w:rPr>
        <w:t>&lt;&lt;Sequenzdiagramm&gt;&gt;</w:t>
      </w: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lastRenderedPageBreak/>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bookmarkStart w:id="5" w:name="_GoBack"/>
      <w:bookmarkEnd w:id="5"/>
      <w:r w:rsidRPr="00BB635C">
        <w:rPr>
          <w:lang w:val="de-DE"/>
        </w:rPr>
        <w:t xml:space="preserve">, bringt die neue Chatanwendung viele Vorteile mit sich. Hierzu zählt neben einem vereinfachten und redundanzfreien Verwalten der Abhängigkeiten zu bestimmten Bibliotheken, </w:t>
      </w:r>
      <w:r w:rsidRPr="00BB635C">
        <w:rPr>
          <w:lang w:val="de-DE"/>
        </w:rPr>
        <w:t>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00D211A7" w:rsidRPr="00BB635C">
        <w:rPr>
          <w:rStyle w:val="Funotenzeichen"/>
          <w:i/>
          <w:lang w:val="de-DE"/>
        </w:rPr>
        <w:footnoteReference w:id="9"/>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Pr="000A5242" w:rsidRDefault="00BF476B" w:rsidP="00BF476B">
      <w:pPr>
        <w:rPr>
          <w:lang w:val="de-DE"/>
        </w:rPr>
      </w:pPr>
    </w:p>
    <w:p w:rsidR="00BF476B" w:rsidRDefault="00BF476B" w:rsidP="00BF476B">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0A5242" w:rsidRDefault="00BF476B" w:rsidP="00BF476B">
      <w:pPr>
        <w:pStyle w:val="Text"/>
        <w:ind w:firstLine="0"/>
        <w:rPr>
          <w:lang w:val="de-DE"/>
        </w:rPr>
      </w:pPr>
      <w:r>
        <w:rPr>
          <w:lang w:val="de-DE"/>
        </w:rPr>
        <w:t>&lt;&lt;Eingehen auf JAX-RS und ggf. Fehlerbehandlung/Retry-Mechanismus&gt;&gt;</w:t>
      </w: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 xml:space="preserve">Die Enterprise-Java-Beans-Spezifikation (EJB) ist Bestandteil von JEE und unterstützt die Umssetzung verteilter Komponentensysteme. Für die Implementierung verteilter </w:t>
      </w:r>
      <w:r>
        <w:rPr>
          <w:lang w:val="de-DE"/>
        </w:rPr>
        <w:lastRenderedPageBreak/>
        <w:t>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9755FD">
      <w:pPr>
        <w:rPr>
          <w:lang w:val="de-DE"/>
        </w:rPr>
      </w:pPr>
      <w:r>
        <w:rPr>
          <w:lang w:val="de-DE"/>
        </w:rPr>
        <w:t>-XA Datasources</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Default="009E4531" w:rsidP="008A7497">
      <w:pPr>
        <w:rPr>
          <w:lang w:val="de-DE"/>
        </w:rPr>
      </w:pPr>
    </w:p>
    <w:p w:rsidR="00E15F60" w:rsidRPr="00E15F60" w:rsidRDefault="00E15F60" w:rsidP="00E15F60">
      <w:pPr>
        <w:pStyle w:val="berschrift2"/>
        <w:rPr>
          <w:lang w:val="de-DE"/>
        </w:rPr>
      </w:pPr>
      <w:r>
        <w:rPr>
          <w:lang w:val="de-DE"/>
        </w:rPr>
        <w:t>Weitere Umsetzungsmerkmale</w:t>
      </w:r>
    </w:p>
    <w:p w:rsidR="00E15F60" w:rsidRDefault="00E15F60" w:rsidP="008A7497">
      <w:pPr>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A7497">
      <w:pPr>
        <w:rPr>
          <w:lang w:val="de-DE"/>
        </w:rPr>
      </w:pPr>
    </w:p>
    <w:p w:rsidR="00E15F60" w:rsidRDefault="00E15F60" w:rsidP="00E15F60">
      <w:pPr>
        <w:pStyle w:val="Listenabsatz"/>
        <w:numPr>
          <w:ilvl w:val="0"/>
          <w:numId w:val="31"/>
        </w:numPr>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E15F60">
      <w:pPr>
        <w:pStyle w:val="Listenabsatz"/>
        <w:numPr>
          <w:ilvl w:val="0"/>
          <w:numId w:val="31"/>
        </w:numPr>
        <w:rPr>
          <w:lang w:val="de-DE"/>
        </w:rPr>
      </w:pPr>
      <w:r>
        <w:rPr>
          <w:lang w:val="de-DE"/>
        </w:rPr>
        <w:t>Der Benchmarking-Client bereitet bereits während der Testdurchführung unterschiedliche Diagramme auf und stellt diese Live in der Maske dar.</w:t>
      </w:r>
    </w:p>
    <w:p w:rsidR="003801C2" w:rsidRPr="00E15F60" w:rsidRDefault="003801C2" w:rsidP="00E15F60">
      <w:pPr>
        <w:pStyle w:val="Listenabsatz"/>
        <w:numPr>
          <w:ilvl w:val="0"/>
          <w:numId w:val="31"/>
        </w:num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0A5242" w:rsidRDefault="00C0494A">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D51C3B" w:rsidRPr="000A5242" w:rsidRDefault="00D51C3B">
      <w:pPr>
        <w:pStyle w:val="ReferenceHead"/>
        <w:rPr>
          <w:lang w:val="de-DE"/>
        </w:rPr>
      </w:pPr>
      <w:r w:rsidRPr="000A5242">
        <w:rPr>
          <w:lang w:val="de-DE"/>
        </w:rPr>
        <w:lastRenderedPageBreak/>
        <w:t>Appendix</w:t>
      </w:r>
    </w:p>
    <w:p w:rsidR="005C7C66" w:rsidRPr="00565C3F" w:rsidRDefault="005C7C66" w:rsidP="005C7C66">
      <w:pPr>
        <w:pStyle w:val="berschrift2"/>
        <w:rPr>
          <w:lang w:val="de-DE"/>
        </w:rPr>
      </w:pPr>
      <w:bookmarkStart w:id="6" w:name="_Ref469407729"/>
      <w:r w:rsidRPr="00565C3F">
        <w:rPr>
          <w:lang w:val="de-DE"/>
        </w:rPr>
        <w:t>Gesamtarchitekturen im Vergleich</w:t>
      </w:r>
      <w:bookmarkEnd w:id="6"/>
    </w:p>
    <w:p w:rsidR="005C7C66" w:rsidRDefault="005C7C66" w:rsidP="00C03968">
      <w:pPr>
        <w:rPr>
          <w:lang w:val="de-DE"/>
        </w:rPr>
      </w:pPr>
      <w:r w:rsidRPr="00BB635C">
        <w:rPr>
          <w:highlight w:val="yellow"/>
          <w:lang w:val="de-DE"/>
        </w:rPr>
        <w:t>&lt;Grafik alt&gt;</w:t>
      </w:r>
    </w:p>
    <w:p w:rsidR="009B17B7" w:rsidRPr="00565C3F" w:rsidRDefault="00A6598C" w:rsidP="005C7C66">
      <w:pPr>
        <w:pStyle w:val="Text"/>
        <w:ind w:firstLine="0"/>
        <w:rPr>
          <w:lang w:val="de-DE"/>
        </w:rPr>
      </w:pPr>
      <w:r>
        <w:rPr>
          <w:noProof/>
          <w:lang w:val="de-DE" w:eastAsia="de-DE"/>
        </w:rPr>
        <mc:AlternateContent>
          <mc:Choice Requires="wps">
            <w:drawing>
              <wp:anchor distT="0" distB="0" distL="114300" distR="114300" simplePos="0" relativeHeight="251660288" behindDoc="0" locked="0" layoutInCell="1" allowOverlap="1" wp14:anchorId="602665E4" wp14:editId="3C1FBEA9">
                <wp:simplePos x="0" y="0"/>
                <wp:positionH relativeFrom="column">
                  <wp:posOffset>0</wp:posOffset>
                </wp:positionH>
                <wp:positionV relativeFrom="paragraph">
                  <wp:posOffset>6487160</wp:posOffset>
                </wp:positionV>
                <wp:extent cx="656463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a:effectLst/>
                      </wps:spPr>
                      <wps:txbx>
                        <w:txbxContent>
                          <w:p w:rsidR="00A6598C" w:rsidRPr="00A6598C" w:rsidRDefault="00A6598C" w:rsidP="00A6598C">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Pr="00A6598C">
                              <w:rPr>
                                <w:noProof/>
                                <w:lang w:val="de-DE"/>
                              </w:rPr>
                              <w:t>4</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2665E4" id="_x0000_t202" coordsize="21600,21600" o:spt="202" path="m,l,21600r21600,l21600,xe">
                <v:stroke joinstyle="miter"/>
                <v:path gradientshapeok="t" o:connecttype="rect"/>
              </v:shapetype>
              <v:shape id="Textfeld 5" o:spid="_x0000_s1026" type="#_x0000_t202" style="position:absolute;left:0;text-align:left;margin-left:0;margin-top:510.8pt;width:51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" stroked="f">
                <v:textbox style="mso-fit-shape-to-text:t" inset="0,0,0,0">
                  <w:txbxContent>
                    <w:p w:rsidR="00A6598C" w:rsidRPr="00A6598C" w:rsidRDefault="00A6598C" w:rsidP="00A6598C">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Pr="00A6598C">
                        <w:rPr>
                          <w:noProof/>
                          <w:lang w:val="de-DE"/>
                        </w:rPr>
                        <w:t>4</w:t>
                      </w:r>
                      <w:r>
                        <w:fldChar w:fldCharType="end"/>
                      </w:r>
                      <w:bookmarkEnd w:id="8"/>
                      <w:r w:rsidRPr="00A6598C">
                        <w:rPr>
                          <w:lang w:val="de-DE"/>
                        </w:rPr>
                        <w:t>: Anwendungsüberblick in Form eines Komponentenmodells</w:t>
                      </w:r>
                    </w:p>
                  </w:txbxContent>
                </v:textbox>
                <w10:wrap type="square"/>
              </v:shape>
            </w:pict>
          </mc:Fallback>
        </mc:AlternateContent>
      </w:r>
      <w:r w:rsidR="00C03968">
        <w:rPr>
          <w:noProof/>
          <w:lang w:val="de-DE"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564630" cy="6430010"/>
            <wp:effectExtent l="0" t="0" r="762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3">
                      <a:extLst>
                        <a:ext uri="{28A0092B-C50C-407E-A947-70E740481C1C}">
                          <a14:useLocalDpi xmlns:a14="http://schemas.microsoft.com/office/drawing/2010/main" val="0"/>
                        </a:ext>
                      </a:extLst>
                    </a:blip>
                    <a:stretch>
                      <a:fillRect/>
                    </a:stretch>
                  </pic:blipFill>
                  <pic:spPr>
                    <a:xfrm>
                      <a:off x="0" y="0"/>
                      <a:ext cx="6564630" cy="6430010"/>
                    </a:xfrm>
                    <a:prstGeom prst="rect">
                      <a:avLst/>
                    </a:prstGeom>
                  </pic:spPr>
                </pic:pic>
              </a:graphicData>
            </a:graphic>
            <wp14:sizeRelH relativeFrom="margin">
              <wp14:pctWidth>0</wp14:pctWidth>
            </wp14:sizeRelH>
            <wp14:sizeRelV relativeFrom="margin">
              <wp14:pctHeight>0</wp14:pctHeight>
            </wp14:sizeRelV>
          </wp:anchor>
        </w:drawing>
      </w:r>
    </w:p>
    <w:p w:rsidR="00C03968" w:rsidRDefault="00C03968">
      <w:pPr>
        <w:autoSpaceDE/>
        <w:autoSpaceDN/>
        <w:rPr>
          <w:lang w:val="de-DE"/>
        </w:rPr>
      </w:pPr>
      <w:r>
        <w:rPr>
          <w:lang w:val="de-DE"/>
        </w:rPr>
        <w:br w:type="page"/>
      </w:r>
    </w:p>
    <w:p w:rsidR="00E47948" w:rsidRPr="00565C3F" w:rsidRDefault="00E47948" w:rsidP="00BB635C">
      <w:pPr>
        <w:pStyle w:val="berschrift2"/>
        <w:rPr>
          <w:lang w:val="de-DE"/>
        </w:rPr>
      </w:pPr>
      <w:r w:rsidRPr="00565C3F">
        <w:rPr>
          <w:lang w:val="de-DE"/>
        </w:rPr>
        <w:lastRenderedPageBreak/>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&lt;Grafik login&gt;</w:t>
      </w:r>
    </w:p>
    <w:p w:rsidR="00E47948" w:rsidRPr="00565C3F" w:rsidRDefault="00E47948" w:rsidP="00E47948">
      <w:pPr>
        <w:rPr>
          <w:lang w:val="de-DE"/>
        </w:rPr>
      </w:pPr>
      <w:r w:rsidRPr="00BB635C">
        <w:rPr>
          <w:highlight w:val="yellow"/>
          <w:lang w:val="de-DE"/>
        </w:rPr>
        <w:t>&lt;Grafik chatmaske&gt;</w:t>
      </w:r>
    </w:p>
    <w:p w:rsidR="00E47948" w:rsidRPr="00565C3F" w:rsidRDefault="00E47948" w:rsidP="00E47948">
      <w:pPr>
        <w:rPr>
          <w:lang w:val="de-DE"/>
        </w:rPr>
      </w:pPr>
    </w:p>
    <w:p w:rsidR="00E47948" w:rsidRPr="00565C3F" w:rsidRDefault="00E47948" w:rsidP="00E47948">
      <w:pPr>
        <w:pStyle w:val="berschrift3"/>
        <w:rPr>
          <w:lang w:val="de-DE"/>
        </w:rPr>
      </w:pPr>
      <w:r w:rsidRPr="00565C3F">
        <w:rPr>
          <w:lang w:val="de-DE"/>
        </w:rPr>
        <w:t>Benchmarkingclient Masken</w:t>
      </w:r>
    </w:p>
    <w:p w:rsidR="00E47948" w:rsidRPr="00E47948" w:rsidRDefault="00E47948" w:rsidP="00E47948">
      <w:pPr>
        <w:rPr>
          <w:lang w:val="de-DE"/>
        </w:rPr>
      </w:pPr>
      <w:r w:rsidRPr="00BB635C">
        <w:rPr>
          <w:highlight w:val="yellow"/>
          <w:lang w:val="de-DE"/>
        </w:rPr>
        <w:t>&lt;&lt;Grafiken der einzelnen Tabs&gt;&gt;</w:t>
      </w:r>
    </w:p>
    <w:p w:rsidR="00C03968" w:rsidRDefault="00C03968">
      <w:pPr>
        <w:pStyle w:val="ReferenceHead"/>
        <w:rPr>
          <w:lang w:val="de-DE"/>
        </w:rPr>
      </w:pPr>
    </w:p>
    <w:p w:rsidR="00C03968" w:rsidRDefault="00C03968">
      <w:pPr>
        <w:pStyle w:val="ReferenceHead"/>
        <w:rPr>
          <w:lang w:val="de-DE"/>
        </w:rPr>
      </w:pPr>
    </w:p>
    <w:p w:rsidR="00C03968" w:rsidRDefault="00C03968">
      <w:pPr>
        <w:autoSpaceDE/>
        <w:autoSpaceDN/>
        <w:rPr>
          <w:smallCaps/>
          <w:kern w:val="28"/>
          <w:lang w:val="de-DE"/>
        </w:rPr>
      </w:pPr>
      <w:r>
        <w:rPr>
          <w:lang w:val="de-DE"/>
        </w:rPr>
        <w:br w:type="page"/>
      </w:r>
    </w:p>
    <w:p w:rsidR="00D51C3B" w:rsidRPr="000A5242" w:rsidRDefault="00D51C3B">
      <w:pPr>
        <w:pStyle w:val="ReferenceHead"/>
        <w:rPr>
          <w:lang w:val="de-DE"/>
        </w:rPr>
      </w:pPr>
      <w:r w:rsidRPr="000A5242">
        <w:rPr>
          <w:lang w:val="de-DE"/>
        </w:rPr>
        <w:lastRenderedPageBreak/>
        <w:t>References</w:t>
      </w:r>
    </w:p>
    <w:p w:rsidR="00E37277" w:rsidRPr="00EC601F" w:rsidRDefault="00F93C74" w:rsidP="00E37277">
      <w:pPr>
        <w:pStyle w:val="Literaturverzeichnis"/>
        <w:rPr>
          <w:lang w:val="de-DE"/>
        </w:rPr>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C601F">
        <w:rPr>
          <w:lang w:val="de-DE"/>
        </w:rPr>
        <w:t>[1]</w:t>
      </w:r>
      <w:r w:rsidR="00E37277" w:rsidRPr="00EC601F">
        <w:rPr>
          <w:lang w:val="de-DE"/>
        </w:rPr>
        <w:tab/>
        <w:t xml:space="preserve">A. Schill und T. Springer, </w:t>
      </w:r>
      <w:r w:rsidR="00E37277" w:rsidRPr="00EC601F">
        <w:rPr>
          <w:i/>
          <w:iCs/>
          <w:lang w:val="de-DE"/>
        </w:rPr>
        <w:t>Verteilte Systeme</w:t>
      </w:r>
      <w:r w:rsidR="00E37277" w:rsidRPr="00EC601F">
        <w:rPr>
          <w:lang w:val="de-DE"/>
        </w:rPr>
        <w:t>. Berlin, Heidelberg: Springer Berlin Heidelberg, 2012.</w:t>
      </w:r>
    </w:p>
    <w:p w:rsidR="00E37277" w:rsidRPr="00EC601F" w:rsidRDefault="00E37277" w:rsidP="00E37277">
      <w:pPr>
        <w:pStyle w:val="Literaturverzeichnis"/>
        <w:rPr>
          <w:lang w:val="de-DE"/>
        </w:rPr>
      </w:pPr>
      <w:r w:rsidRPr="00EC601F">
        <w:rPr>
          <w:lang w:val="de-DE"/>
        </w:rPr>
        <w:t>[2]</w:t>
      </w:r>
      <w:r w:rsidRPr="00EC601F">
        <w:rPr>
          <w:lang w:val="de-DE"/>
        </w:rPr>
        <w:tab/>
        <w:t xml:space="preserve">H. Balzert, </w:t>
      </w:r>
      <w:r w:rsidRPr="00EC601F">
        <w:rPr>
          <w:i/>
          <w:iCs/>
          <w:lang w:val="de-DE"/>
        </w:rPr>
        <w:t>Lehrbuch der Softwaretechnik, Entwurf, Implementierung, Installation und Betrieb</w:t>
      </w:r>
      <w:r w:rsidRPr="00EC601F">
        <w:rPr>
          <w:lang w:val="de-DE"/>
        </w:rPr>
        <w:t>, 3. Aufl. Spektrum, Akademischer Verlag.</w:t>
      </w:r>
    </w:p>
    <w:p w:rsidR="00E37277" w:rsidRPr="00E37277" w:rsidRDefault="00E37277" w:rsidP="00E37277">
      <w:pPr>
        <w:pStyle w:val="Literaturverzeichnis"/>
      </w:pPr>
      <w:r w:rsidRPr="00EC601F">
        <w:rPr>
          <w:lang w:val="de-DE"/>
        </w:rPr>
        <w:t>[3]</w:t>
      </w:r>
      <w:r w:rsidRPr="00EC601F">
        <w:rPr>
          <w:lang w:val="de-DE"/>
        </w:rPr>
        <w:tab/>
        <w:t xml:space="preserve">U. Hammerschall, </w:t>
      </w:r>
      <w:r w:rsidRPr="00EC601F">
        <w:rPr>
          <w:i/>
          <w:iCs/>
          <w:lang w:val="de-DE"/>
        </w:rPr>
        <w:t>Verteilte Systeme und Anwendungen</w:t>
      </w:r>
      <w:r w:rsidRPr="00EC601F">
        <w:rPr>
          <w:lang w:val="de-DE"/>
        </w:rPr>
        <w:t xml:space="preserve">. </w:t>
      </w:r>
      <w:r w:rsidRPr="00E37277">
        <w:t>Pearson Education.</w:t>
      </w:r>
    </w:p>
    <w:p w:rsidR="00E37277" w:rsidRPr="00EC601F" w:rsidRDefault="00E37277" w:rsidP="00E37277">
      <w:pPr>
        <w:pStyle w:val="Literaturverzeichnis"/>
        <w:rPr>
          <w:lang w:val="de-DE"/>
        </w:rPr>
      </w:pPr>
      <w:r w:rsidRPr="00E37277">
        <w:t>[4]</w:t>
      </w:r>
      <w:r w:rsidRPr="00E37277">
        <w:tab/>
        <w:t xml:space="preserve">M. Belshe, M. Thomson, und R. Peon, „Hypertext Transfer Protocol Version 2 (HTTP/2)“. </w:t>
      </w:r>
      <w:r w:rsidRPr="00EC601F">
        <w:rPr>
          <w:lang w:val="de-DE"/>
        </w:rPr>
        <w:t>[Online]. Verfügbar unter: https://tools.ietf.org/html/rfc7540. [Zugegriffen: 05-Dez-2016].</w:t>
      </w:r>
    </w:p>
    <w:p w:rsidR="00E37277" w:rsidRPr="00EC601F" w:rsidRDefault="00E37277" w:rsidP="00E37277">
      <w:pPr>
        <w:pStyle w:val="Literaturverzeichnis"/>
        <w:rPr>
          <w:lang w:val="de-DE"/>
        </w:rPr>
      </w:pPr>
      <w:r w:rsidRPr="00E37277">
        <w:t>[5]</w:t>
      </w:r>
      <w:r w:rsidRPr="00E37277">
        <w:tab/>
        <w:t xml:space="preserve">„Hibernate ORM 5.0 User Guide“. [Online]. </w:t>
      </w:r>
      <w:r w:rsidRPr="00EC601F">
        <w:rPr>
          <w:lang w:val="de-DE"/>
        </w:rPr>
        <w:t>Verfügbar unter: https://docs.jboss.org/hibernate/orm/5.0/userguide/html_single/Hibernate_User_Guide.html. [Zugegriffen: 05-Dez-2016].</w:t>
      </w:r>
    </w:p>
    <w:p w:rsidR="00E37277" w:rsidRPr="00EC601F" w:rsidRDefault="00E37277" w:rsidP="00E37277">
      <w:pPr>
        <w:pStyle w:val="Literaturverzeichnis"/>
        <w:rPr>
          <w:lang w:val="de-DE"/>
        </w:rPr>
      </w:pPr>
      <w:r w:rsidRPr="00EC601F">
        <w:rPr>
          <w:lang w:val="de-DE"/>
        </w:rPr>
        <w:t>[6]</w:t>
      </w:r>
      <w:r w:rsidRPr="00EC601F">
        <w:rPr>
          <w:lang w:val="de-DE"/>
        </w:rPr>
        <w:tab/>
        <w:t>„Message-Driven EJBs“. [Online]. Verfügbar unter: http://docs.oracle.com/cd/E11035_01/wls100/ejb/message_beans.html. [Zugegriffen: 17-Nov-2016].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1F8" w:rsidRDefault="004541F8">
      <w:r>
        <w:separator/>
      </w:r>
    </w:p>
  </w:endnote>
  <w:endnote w:type="continuationSeparator" w:id="0">
    <w:p w:rsidR="004541F8" w:rsidRDefault="004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1F8" w:rsidRDefault="004541F8"/>
  </w:footnote>
  <w:footnote w:type="continuationSeparator" w:id="0">
    <w:p w:rsidR="004541F8" w:rsidRDefault="004541F8">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pPr>
        <w:pStyle w:val="Funotentext"/>
        <w:rPr>
          <w:lang w:val="de-DE"/>
        </w:rPr>
      </w:pPr>
      <w:r>
        <w:rPr>
          <w:rStyle w:val="Funotenzeichen"/>
        </w:rPr>
        <w:footnoteRef/>
      </w:r>
      <w:r w:rsidRPr="00EC4695">
        <w:rPr>
          <w:lang w:val="de-DE"/>
        </w:rPr>
        <w:t xml:space="preserve"> Das Prinzip „Seperation of concern“ beschreibt … [QUELLE].</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636A6D">
      <w:rPr>
        <w:noProof/>
      </w:rPr>
      <w:t>2</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8"/>
  </w:num>
  <w:num w:numId="17">
    <w:abstractNumId w:val="6"/>
  </w:num>
  <w:num w:numId="18">
    <w:abstractNumId w:val="5"/>
  </w:num>
  <w:num w:numId="19">
    <w:abstractNumId w:val="17"/>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4DE5"/>
    <w:rsid w:val="001425DC"/>
    <w:rsid w:val="00144120"/>
    <w:rsid w:val="00145C64"/>
    <w:rsid w:val="001501AC"/>
    <w:rsid w:val="00171712"/>
    <w:rsid w:val="00176537"/>
    <w:rsid w:val="00183559"/>
    <w:rsid w:val="001B50E6"/>
    <w:rsid w:val="00245A67"/>
    <w:rsid w:val="002620BB"/>
    <w:rsid w:val="002B1B6C"/>
    <w:rsid w:val="002B2111"/>
    <w:rsid w:val="002D2EDE"/>
    <w:rsid w:val="002D6EDE"/>
    <w:rsid w:val="002F6DA6"/>
    <w:rsid w:val="00310DA8"/>
    <w:rsid w:val="00312283"/>
    <w:rsid w:val="00355199"/>
    <w:rsid w:val="003801C2"/>
    <w:rsid w:val="003B77FA"/>
    <w:rsid w:val="0041201A"/>
    <w:rsid w:val="00423420"/>
    <w:rsid w:val="004271A1"/>
    <w:rsid w:val="004407C2"/>
    <w:rsid w:val="004409FA"/>
    <w:rsid w:val="004541F8"/>
    <w:rsid w:val="00476326"/>
    <w:rsid w:val="004C1675"/>
    <w:rsid w:val="004D171C"/>
    <w:rsid w:val="004F0950"/>
    <w:rsid w:val="004F5553"/>
    <w:rsid w:val="00513E45"/>
    <w:rsid w:val="00521111"/>
    <w:rsid w:val="0053622A"/>
    <w:rsid w:val="005376A9"/>
    <w:rsid w:val="00556F1C"/>
    <w:rsid w:val="00565C3F"/>
    <w:rsid w:val="00573D63"/>
    <w:rsid w:val="00574610"/>
    <w:rsid w:val="00597EE5"/>
    <w:rsid w:val="005C1789"/>
    <w:rsid w:val="005C7C66"/>
    <w:rsid w:val="00627F18"/>
    <w:rsid w:val="00636A6D"/>
    <w:rsid w:val="00640F0B"/>
    <w:rsid w:val="0064330C"/>
    <w:rsid w:val="00665576"/>
    <w:rsid w:val="006940C0"/>
    <w:rsid w:val="006C0FE8"/>
    <w:rsid w:val="006C3494"/>
    <w:rsid w:val="006C4F8A"/>
    <w:rsid w:val="006E07E6"/>
    <w:rsid w:val="006F275F"/>
    <w:rsid w:val="00716D5D"/>
    <w:rsid w:val="00731078"/>
    <w:rsid w:val="0074640D"/>
    <w:rsid w:val="0075563B"/>
    <w:rsid w:val="00760126"/>
    <w:rsid w:val="007731CE"/>
    <w:rsid w:val="007A6C97"/>
    <w:rsid w:val="0080571B"/>
    <w:rsid w:val="00805A3E"/>
    <w:rsid w:val="00826C5A"/>
    <w:rsid w:val="0085194D"/>
    <w:rsid w:val="00870053"/>
    <w:rsid w:val="008A0017"/>
    <w:rsid w:val="008A7497"/>
    <w:rsid w:val="008B1CEB"/>
    <w:rsid w:val="008C630A"/>
    <w:rsid w:val="008C66BA"/>
    <w:rsid w:val="00924ED0"/>
    <w:rsid w:val="00933495"/>
    <w:rsid w:val="009370DA"/>
    <w:rsid w:val="0094599C"/>
    <w:rsid w:val="00953ECF"/>
    <w:rsid w:val="009651CB"/>
    <w:rsid w:val="009755FD"/>
    <w:rsid w:val="00984C74"/>
    <w:rsid w:val="00996D37"/>
    <w:rsid w:val="009B17B7"/>
    <w:rsid w:val="009C5D72"/>
    <w:rsid w:val="009E4531"/>
    <w:rsid w:val="009E60E9"/>
    <w:rsid w:val="009F423C"/>
    <w:rsid w:val="00A00EF4"/>
    <w:rsid w:val="00A04005"/>
    <w:rsid w:val="00A25CFC"/>
    <w:rsid w:val="00A2652C"/>
    <w:rsid w:val="00A6022C"/>
    <w:rsid w:val="00A640EA"/>
    <w:rsid w:val="00A6598C"/>
    <w:rsid w:val="00A66306"/>
    <w:rsid w:val="00AB0BFD"/>
    <w:rsid w:val="00AC6901"/>
    <w:rsid w:val="00B64FA2"/>
    <w:rsid w:val="00B7304C"/>
    <w:rsid w:val="00B81650"/>
    <w:rsid w:val="00BB635C"/>
    <w:rsid w:val="00BF476B"/>
    <w:rsid w:val="00C03968"/>
    <w:rsid w:val="00C0494A"/>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365D2"/>
    <w:rsid w:val="00D51C3B"/>
    <w:rsid w:val="00D6191E"/>
    <w:rsid w:val="00D6468F"/>
    <w:rsid w:val="00D772EE"/>
    <w:rsid w:val="00DB210B"/>
    <w:rsid w:val="00DD43B3"/>
    <w:rsid w:val="00E02D0B"/>
    <w:rsid w:val="00E0720E"/>
    <w:rsid w:val="00E13CC5"/>
    <w:rsid w:val="00E15F60"/>
    <w:rsid w:val="00E20C7D"/>
    <w:rsid w:val="00E24722"/>
    <w:rsid w:val="00E37277"/>
    <w:rsid w:val="00E45FD3"/>
    <w:rsid w:val="00E4752B"/>
    <w:rsid w:val="00E47948"/>
    <w:rsid w:val="00E60806"/>
    <w:rsid w:val="00EA04EB"/>
    <w:rsid w:val="00EC2D65"/>
    <w:rsid w:val="00EC4695"/>
    <w:rsid w:val="00EC601F"/>
    <w:rsid w:val="00EE1CEB"/>
    <w:rsid w:val="00EF1337"/>
    <w:rsid w:val="00F62D48"/>
    <w:rsid w:val="00F643C3"/>
    <w:rsid w:val="00F67334"/>
    <w:rsid w:val="00F84C5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89BA-2869-4A0B-8A21-160DFFA4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3207</Words>
  <Characters>20207</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23368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37</cp:revision>
  <cp:lastPrinted>2004-03-23T09:00:00Z</cp:lastPrinted>
  <dcterms:created xsi:type="dcterms:W3CDTF">2016-12-05T19:42:00Z</dcterms:created>
  <dcterms:modified xsi:type="dcterms:W3CDTF">2016-12-13T15:44:00Z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