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9" w:history="1">
        <w:r w:rsidRPr="009755FD">
          <w:rPr>
            <w:rStyle w:val="Hyperlink"/>
          </w:rPr>
          <w:t>keywords@ieee.org</w:t>
        </w:r>
      </w:hyperlink>
      <w:r w:rsidRPr="009755FD">
        <w:t xml:space="preserve"> or visit the IEEE web site at </w:t>
      </w:r>
      <w:hyperlink r:id="rId10"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E37277">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E37277">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E37277">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E37277">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E37277">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(fire-and-forget).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E37277">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312283">
      <w:pPr>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BB635C"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Anforderungen, </w:t>
      </w:r>
      <w:r w:rsidR="00870053" w:rsidRPr="00BB635C">
        <w:rPr>
          <w:lang w:val="de-DE"/>
        </w:rPr>
        <w:t>war</w:t>
      </w:r>
      <w:r w:rsidR="0085194D" w:rsidRPr="00BB635C">
        <w:rPr>
          <w:lang w:val="de-DE"/>
        </w:rPr>
        <w:t xml:space="preserve"> die bisherige monolithische Struktur </w:t>
      </w:r>
      <w:r w:rsidR="00870053" w:rsidRPr="00BB635C">
        <w:rPr>
          <w:lang w:val="de-DE"/>
        </w:rPr>
        <w:t>der Chatanwendung weitestgehend ungeeignet</w:t>
      </w:r>
      <w:r w:rsidR="0085194D" w:rsidRPr="00BB635C">
        <w:rPr>
          <w:lang w:val="de-DE"/>
        </w:rPr>
        <w:t xml:space="preserve">. </w:t>
      </w:r>
      <w:r w:rsidR="00870053" w:rsidRPr="00BB635C">
        <w:rPr>
          <w:lang w:val="de-DE"/>
        </w:rPr>
        <w:t xml:space="preserve">Dies war nicht nur der Tatsache geschuldet, dass die vorhandenen Komponenten </w:t>
      </w:r>
      <w:r w:rsidR="00870053" w:rsidRPr="00BB635C">
        <w:rPr>
          <w:lang w:val="de-DE"/>
        </w:rPr>
        <w:lastRenderedPageBreak/>
        <w:t>Server, Client und Benchmarkclient in einer einzigen Applikation abgebildet wurden. Die Komponenten waren zum Teil durch sehr viele Abhängigkeiten an unterschiedlichen Stellen miteinander gekoppelt. Außerdem wurden einzelne SOLID-Prinzipien</w:t>
      </w:r>
      <w:r w:rsidR="00EC601F" w:rsidRPr="00EC601F">
        <w:rPr>
          <w:rStyle w:val="Funotenzeichen"/>
          <w:highlight w:val="yellow"/>
          <w:lang w:val="de-DE"/>
        </w:rPr>
        <w:footnoteReference w:id="2"/>
      </w:r>
      <w:r w:rsidR="00EC601F">
        <w:rPr>
          <w:lang w:val="de-DE"/>
        </w:rPr>
        <w:t xml:space="preserve"> </w:t>
      </w:r>
      <w:r w:rsidR="00870053" w:rsidRPr="00BB635C">
        <w:rPr>
          <w:lang w:val="de-DE"/>
        </w:rPr>
        <w:t>verletzt, womit zunächst ein grundlegendes Refactoring durchgeführt und im Zuge dessen die Architektur neu überdacht werden musste.</w:t>
      </w:r>
      <w:r w:rsidR="0085194D" w:rsidRPr="00BB635C">
        <w:rPr>
          <w:lang w:val="de-DE"/>
        </w:rPr>
        <w:t xml:space="preserve"> Im nachfolgenden ist daher ein technisches Konzept für die veränderte Umgebung und die grundlegende Architektur für die beiliegende Chatanwendung beschrieben.</w:t>
      </w:r>
    </w:p>
    <w:p w:rsidR="00870053" w:rsidRPr="000A5242" w:rsidRDefault="00870053" w:rsidP="00870053">
      <w:pPr>
        <w:pStyle w:val="Text"/>
        <w:rPr>
          <w:lang w:val="de-DE"/>
        </w:rPr>
      </w:pPr>
      <w:r w:rsidRPr="00BB635C">
        <w:rPr>
          <w:lang w:val="de-DE"/>
        </w:rPr>
        <w:t>Zunächst gilt es allerdings die neuen, zum Ziel gesetzten fachlichen Anforderungen noch einmal zusammenzufassen.</w:t>
      </w:r>
      <w:r>
        <w:rPr>
          <w:lang w:val="de-DE"/>
        </w:rPr>
        <w:t xml:space="preserve"> </w:t>
      </w:r>
    </w:p>
    <w:p w:rsidR="006F275F" w:rsidRDefault="006F275F" w:rsidP="006F275F">
      <w:pPr>
        <w:pStyle w:val="berschrift2"/>
        <w:rPr>
          <w:lang w:val="de-DE"/>
        </w:rPr>
      </w:pPr>
      <w:r w:rsidRPr="000A5242">
        <w:rPr>
          <w:lang w:val="de-DE"/>
        </w:rPr>
        <w:t>Struktur des Anwendungsszenarios</w:t>
      </w:r>
    </w:p>
    <w:p w:rsidR="00640F0B" w:rsidRDefault="00640F0B" w:rsidP="00640F0B">
      <w:pPr>
        <w:rPr>
          <w:lang w:val="de-DE"/>
        </w:rPr>
      </w:pPr>
      <w:r>
        <w:rPr>
          <w:lang w:val="de-DE"/>
        </w:rPr>
        <w:t>Die v</w:t>
      </w:r>
      <w:r w:rsidR="001501AC">
        <w:rPr>
          <w:lang w:val="de-DE"/>
        </w:rPr>
        <w:t xml:space="preserve">erteilte Chatanwendung muss mehreren </w:t>
      </w:r>
      <w:r>
        <w:rPr>
          <w:lang w:val="de-DE"/>
        </w:rPr>
        <w:t>Anwender</w:t>
      </w:r>
      <w:r w:rsidR="001501AC">
        <w:rPr>
          <w:lang w:val="de-DE"/>
        </w:rPr>
        <w:t>n</w:t>
      </w:r>
      <w:r>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Default="00640F0B" w:rsidP="00640F0B">
      <w:pPr>
        <w:rPr>
          <w:lang w:val="de-DE"/>
        </w:rPr>
      </w:pPr>
      <w:r>
        <w:rPr>
          <w:lang w:val="de-DE"/>
        </w:rPr>
        <w:t>Dabei soll die Performance der Chatanwendung mithilfe eines Benchmarking-Clients unter Berücksichtigung verschiedener Metriken überwacht werden können.</w:t>
      </w:r>
    </w:p>
    <w:p w:rsidR="00640F0B" w:rsidRDefault="00640F0B" w:rsidP="00640F0B">
      <w:pPr>
        <w:rPr>
          <w:lang w:val="de-DE"/>
        </w:rPr>
      </w:pPr>
      <w:r>
        <w:rPr>
          <w:lang w:val="de-DE"/>
        </w:rPr>
        <w:t>Über die reine Chat-Funktionalität hinaus sollen verschiedene Informationen bezüglich der versendeten Nachrichten in zwei Datenbanken persistiert werden. Sollte das Persistieren nicht vol</w:t>
      </w:r>
      <w:r w:rsidR="001501AC">
        <w:rPr>
          <w:lang w:val="de-DE"/>
        </w:rPr>
        <w:t>lständig erfolgen</w:t>
      </w:r>
      <w:r>
        <w:rPr>
          <w:lang w:val="de-DE"/>
        </w:rPr>
        <w:t xml:space="preserve"> ist ein Rollback durchzuführen.</w:t>
      </w:r>
    </w:p>
    <w:p w:rsidR="00640F0B" w:rsidRPr="00640F0B" w:rsidRDefault="00640F0B" w:rsidP="00640F0B">
      <w:pPr>
        <w:rPr>
          <w:lang w:val="de-DE"/>
        </w:rPr>
      </w:pPr>
      <w:r>
        <w:rPr>
          <w:lang w:val="de-DE"/>
        </w:rPr>
        <w:t>Auf die in der Datenbank persistierten Daten soll unter Verwendung einer Administrations-Oberfläche zugegriffen werden können.</w:t>
      </w:r>
    </w:p>
    <w:p w:rsidR="006F275F" w:rsidRPr="000A5242" w:rsidRDefault="006F275F" w:rsidP="00C92EA8">
      <w:pPr>
        <w:pStyle w:val="Text"/>
        <w:ind w:firstLine="0"/>
        <w:rPr>
          <w:lang w:val="de-DE"/>
        </w:rPr>
      </w:pPr>
    </w:p>
    <w:p w:rsidR="00423420" w:rsidRDefault="00EC2D65" w:rsidP="00423420">
      <w:pPr>
        <w:pStyle w:val="berschrift2"/>
        <w:rPr>
          <w:lang w:val="de-DE"/>
        </w:rPr>
      </w:pPr>
      <w:r>
        <w:rPr>
          <w:lang w:val="de-DE"/>
        </w:rPr>
        <w:t xml:space="preserve">Architektur aus der </w:t>
      </w:r>
      <w:r w:rsidR="00423420" w:rsidRPr="000A5242">
        <w:rPr>
          <w:lang w:val="de-DE"/>
        </w:rPr>
        <w:t>Komponentensicht</w:t>
      </w:r>
      <w:r w:rsidR="008A0017">
        <w:rPr>
          <w:rStyle w:val="Funotenzeichen"/>
          <w:lang w:val="de-DE"/>
        </w:rPr>
        <w:footnoteReference w:id="3"/>
      </w:r>
    </w:p>
    <w:p w:rsidR="002D2EDE" w:rsidRPr="00BB635C" w:rsidRDefault="00D772EE" w:rsidP="00EE1CEB">
      <w:pPr>
        <w:jc w:val="both"/>
        <w:rPr>
          <w:lang w:val="de-DE"/>
        </w:rPr>
      </w:pPr>
      <w:r w:rsidRPr="00BB635C">
        <w:rPr>
          <w:lang w:val="de-DE"/>
        </w:rPr>
        <w:t xml:space="preserve">Ausgehend von den Anwendungsszenarien wurde die Architektur der Chatanwendung überdacht und neu entwickelt. Hierfür sind im Anhang </w:t>
      </w:r>
      <w:r w:rsidR="00310DA8">
        <w:rPr>
          <w:highlight w:val="yellow"/>
          <w:lang w:val="de-DE"/>
        </w:rPr>
        <w:fldChar w:fldCharType="begin"/>
      </w:r>
      <w:r w:rsidR="00310DA8">
        <w:rPr>
          <w:lang w:val="de-DE"/>
        </w:rPr>
        <w:instrText xml:space="preserve"> REF _Ref469407729 \r \h </w:instrText>
      </w:r>
      <w:r w:rsidR="00310DA8">
        <w:rPr>
          <w:highlight w:val="yellow"/>
          <w:lang w:val="de-DE"/>
        </w:rPr>
      </w:r>
      <w:r w:rsidR="00310DA8">
        <w:rPr>
          <w:highlight w:val="yellow"/>
          <w:lang w:val="de-DE"/>
        </w:rPr>
        <w:fldChar w:fldCharType="separate"/>
      </w:r>
      <w:r w:rsidR="00310DA8">
        <w:rPr>
          <w:lang w:val="de-DE"/>
        </w:rPr>
        <w:t>VI.A</w:t>
      </w:r>
      <w:r w:rsidR="00310DA8">
        <w:rPr>
          <w:highlight w:val="yellow"/>
          <w:lang w:val="de-DE"/>
        </w:rPr>
        <w:fldChar w:fldCharType="end"/>
      </w:r>
      <w:r w:rsidRPr="00BB635C">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Maven Projekte aufbaut. Jede Komponente aus </w:t>
      </w:r>
      <w:r w:rsidR="00310DA8">
        <w:rPr>
          <w:highlight w:val="yellow"/>
          <w:lang w:val="de-DE"/>
        </w:rPr>
        <w:fldChar w:fldCharType="begin"/>
      </w:r>
      <w:r w:rsidR="00310DA8">
        <w:rPr>
          <w:lang w:val="de-DE"/>
        </w:rPr>
        <w:instrText xml:space="preserve"> REF _Ref469407765 \h </w:instrText>
      </w:r>
      <w:r w:rsidR="00310DA8">
        <w:rPr>
          <w:highlight w:val="yellow"/>
          <w:lang w:val="de-DE"/>
        </w:rPr>
      </w:r>
      <w:r w:rsidR="00310DA8">
        <w:rPr>
          <w:highlight w:val="yellow"/>
          <w:lang w:val="de-DE"/>
        </w:rPr>
        <w:fldChar w:fldCharType="separate"/>
      </w:r>
      <w:r w:rsidR="00310DA8" w:rsidRPr="00A6598C">
        <w:rPr>
          <w:lang w:val="de-DE"/>
        </w:rPr>
        <w:t xml:space="preserve">Abbildung </w:t>
      </w:r>
      <w:r w:rsidR="00310DA8" w:rsidRPr="00A6598C">
        <w:rPr>
          <w:noProof/>
          <w:lang w:val="de-DE"/>
        </w:rPr>
        <w:t>4</w:t>
      </w:r>
      <w:r w:rsidR="00310DA8">
        <w:rPr>
          <w:highlight w:val="yellow"/>
          <w:lang w:val="de-DE"/>
        </w:rPr>
        <w:fldChar w:fldCharType="end"/>
      </w:r>
      <w:r w:rsidR="00310DA8">
        <w:rPr>
          <w:lang w:val="de-DE"/>
        </w:rPr>
        <w:t xml:space="preserve"> </w:t>
      </w:r>
      <w:r w:rsidRPr="00BB635C">
        <w:rPr>
          <w:lang w:val="de-DE"/>
        </w:rPr>
        <w:t xml:space="preserve">stellt hierbei ein eigenes Maven-Projekt dar, das Abhängigkeiten zu anderen Projekten besitzt. Diese Abhängigkeiten sind differenziert zu betrachten und werden in den nachfolgenden </w:t>
      </w:r>
      <w:r w:rsidR="00D102B3" w:rsidRPr="00BB635C">
        <w:rPr>
          <w:lang w:val="de-DE"/>
        </w:rPr>
        <w:t xml:space="preserve">Komponentenbeschreibungen noch einmal genauer betrachtet. </w:t>
      </w:r>
    </w:p>
    <w:p w:rsidR="00CD14CD" w:rsidRPr="00996D37" w:rsidRDefault="00CD14CD" w:rsidP="00996D37">
      <w:pPr>
        <w:rPr>
          <w:lang w:val="de-DE"/>
        </w:rPr>
      </w:pPr>
    </w:p>
    <w:p w:rsidR="002D2EDE" w:rsidRDefault="002D2EDE" w:rsidP="002D2EDE">
      <w:pPr>
        <w:pStyle w:val="berschrift3"/>
        <w:rPr>
          <w:lang w:val="de-DE"/>
        </w:rPr>
      </w:pPr>
      <w:r>
        <w:rPr>
          <w:lang w:val="de-DE"/>
        </w:rPr>
        <w:t>Server</w:t>
      </w:r>
    </w:p>
    <w:p w:rsidR="00EE1CEB" w:rsidRDefault="00EE1CEB" w:rsidP="00EE1CEB">
      <w:pPr>
        <w:rPr>
          <w:lang w:val="de-DE"/>
        </w:rPr>
      </w:pPr>
    </w:p>
    <w:p w:rsidR="006940C0" w:rsidRDefault="006940C0" w:rsidP="00EE1CEB">
      <w:pPr>
        <w:rPr>
          <w:lang w:val="de-DE"/>
        </w:rPr>
      </w:pPr>
      <w:r w:rsidRPr="006940C0">
        <w:rPr>
          <w:highlight w:val="yellow"/>
          <w:lang w:val="de-DE"/>
        </w:rPr>
        <w:lastRenderedPageBreak/>
        <w:t>&lt;&lt;Model fehlt!!!&gt;&gt;</w:t>
      </w:r>
    </w:p>
    <w:p w:rsidR="004F0950" w:rsidRDefault="0080571B" w:rsidP="004F0950">
      <w:pPr>
        <w:keepNext/>
      </w:pPr>
      <w:r>
        <w:rPr>
          <w:noProof/>
          <w:lang w:val="de-DE" w:eastAsia="de-DE"/>
        </w:rPr>
        <w:drawing>
          <wp:inline distT="0" distB="0" distL="0" distR="0" wp14:anchorId="4CDB23AD" wp14:editId="0DF47932">
            <wp:extent cx="3200400" cy="19570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1">
                      <a:extLst>
                        <a:ext uri="{28A0092B-C50C-407E-A947-70E740481C1C}">
                          <a14:useLocalDpi xmlns:a14="http://schemas.microsoft.com/office/drawing/2010/main" val="0"/>
                        </a:ext>
                      </a:extLst>
                    </a:blip>
                    <a:stretch>
                      <a:fillRect/>
                    </a:stretch>
                  </pic:blipFill>
                  <pic:spPr>
                    <a:xfrm>
                      <a:off x="0" y="0"/>
                      <a:ext cx="3200400" cy="1957070"/>
                    </a:xfrm>
                    <a:prstGeom prst="rect">
                      <a:avLst/>
                    </a:prstGeom>
                  </pic:spPr>
                </pic:pic>
              </a:graphicData>
            </a:graphic>
          </wp:inline>
        </w:drawing>
      </w:r>
    </w:p>
    <w:p w:rsidR="00EE1CEB" w:rsidRDefault="004F0950" w:rsidP="004F0950">
      <w:pPr>
        <w:pStyle w:val="Beschriftung"/>
        <w:rPr>
          <w:lang w:val="de-DE"/>
        </w:rPr>
      </w:pPr>
      <w:bookmarkStart w:id="1" w:name="_Ref469399142"/>
      <w:bookmarkStart w:id="2" w:name="_Ref469399133"/>
      <w:r w:rsidRPr="002F6DA6">
        <w:rPr>
          <w:lang w:val="de-DE"/>
        </w:rPr>
        <w:t xml:space="preserve">Abbildung </w:t>
      </w:r>
      <w:r>
        <w:fldChar w:fldCharType="begin"/>
      </w:r>
      <w:r w:rsidRPr="002F6DA6">
        <w:rPr>
          <w:lang w:val="de-DE"/>
        </w:rPr>
        <w:instrText xml:space="preserve"> SEQ Abbildung \* ARABIC </w:instrText>
      </w:r>
      <w:r>
        <w:fldChar w:fldCharType="separate"/>
      </w:r>
      <w:r w:rsidR="00A6598C">
        <w:rPr>
          <w:noProof/>
          <w:lang w:val="de-DE"/>
        </w:rPr>
        <w:t>1</w:t>
      </w:r>
      <w:r>
        <w:fldChar w:fldCharType="end"/>
      </w:r>
      <w:bookmarkEnd w:id="1"/>
      <w:r w:rsidRPr="002F6DA6">
        <w:rPr>
          <w:lang w:val="de-DE"/>
        </w:rPr>
        <w:t xml:space="preserve">: </w:t>
      </w:r>
      <w:bookmarkStart w:id="3" w:name="_Ref469399124"/>
      <w:r w:rsidRPr="002F6DA6">
        <w:rPr>
          <w:lang w:val="de-DE"/>
        </w:rPr>
        <w:t>Komponentenmodell der serverseitigen Anwendung</w:t>
      </w:r>
      <w:bookmarkEnd w:id="2"/>
      <w:bookmarkEnd w:id="3"/>
    </w:p>
    <w:p w:rsidR="0080571B" w:rsidRPr="00EE1CEB" w:rsidRDefault="0080571B" w:rsidP="00EE1CEB">
      <w:pPr>
        <w:rPr>
          <w:lang w:val="de-DE"/>
        </w:rPr>
      </w:pPr>
    </w:p>
    <w:p w:rsidR="00EC2D65" w:rsidRDefault="002D2EDE" w:rsidP="00EC2D65">
      <w:pPr>
        <w:pStyle w:val="berschrift3"/>
        <w:rPr>
          <w:lang w:val="de-DE"/>
        </w:rPr>
      </w:pPr>
      <w:r>
        <w:rPr>
          <w:lang w:val="de-DE"/>
        </w:rPr>
        <w:t>Client</w:t>
      </w:r>
      <w:r w:rsidR="00D102B3">
        <w:rPr>
          <w:lang w:val="de-DE"/>
        </w:rPr>
        <w:t xml:space="preserve"> und Konnektoren</w:t>
      </w:r>
    </w:p>
    <w:p w:rsidR="000F0B12" w:rsidRPr="004F5553" w:rsidRDefault="000F0B12" w:rsidP="004F0950">
      <w:pPr>
        <w:jc w:val="both"/>
        <w:rPr>
          <w:highlight w:val="yellow"/>
          <w:lang w:val="de-DE"/>
        </w:rPr>
      </w:pPr>
      <w:r w:rsidRPr="004F5553">
        <w:rPr>
          <w:highlight w:val="yellow"/>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4F5553">
        <w:rPr>
          <w:highlight w:val="yellow"/>
          <w:lang w:val="de-DE"/>
        </w:rPr>
        <w:t>ten entwickelt. Hiermit konnte durch die</w:t>
      </w:r>
      <w:r w:rsidRPr="004F5553">
        <w:rPr>
          <w:highlight w:val="yellow"/>
          <w:lang w:val="de-DE"/>
        </w:rPr>
        <w:t xml:space="preserve"> striktere</w:t>
      </w:r>
      <w:r w:rsidR="00EC4695" w:rsidRPr="004F5553">
        <w:rPr>
          <w:highlight w:val="yellow"/>
          <w:lang w:val="de-DE"/>
        </w:rPr>
        <w:t xml:space="preserve"> Umsetzung</w:t>
      </w:r>
      <w:r w:rsidRPr="004F5553">
        <w:rPr>
          <w:highlight w:val="yellow"/>
          <w:lang w:val="de-DE"/>
        </w:rPr>
        <w:t xml:space="preserve"> des „seperation of concern“-Prinzips</w:t>
      </w:r>
      <w:r w:rsidR="00EA04EB" w:rsidRPr="004F5553">
        <w:rPr>
          <w:rStyle w:val="Funotenzeichen"/>
          <w:highlight w:val="yellow"/>
          <w:lang w:val="de-DE"/>
        </w:rPr>
        <w:footnoteReference w:id="4"/>
      </w:r>
      <w:r w:rsidR="00EC4695" w:rsidRPr="004F5553">
        <w:rPr>
          <w:highlight w:val="yellow"/>
          <w:lang w:val="de-DE"/>
        </w:rPr>
        <w:t xml:space="preserve">, einige </w:t>
      </w:r>
      <w:r w:rsidRPr="004F5553">
        <w:rPr>
          <w:highlight w:val="yellow"/>
          <w:lang w:val="de-DE"/>
        </w:rPr>
        <w:t>Vorteile gewonnen werden.</w:t>
      </w:r>
      <w:r w:rsidR="006940C0" w:rsidRPr="004F5553">
        <w:rPr>
          <w:highlight w:val="yellow"/>
          <w:lang w:val="de-DE"/>
        </w:rPr>
        <w:t xml:space="preserve"> Die bereits zuvor beschriebene Ausgliederung des Datenmodells ist hierbei nur ein Teil der Modularisierung</w:t>
      </w:r>
      <w:r w:rsidR="004F0950" w:rsidRPr="004F5553">
        <w:rPr>
          <w:highlight w:val="yellow"/>
          <w:lang w:val="de-DE"/>
        </w:rPr>
        <w:t xml:space="preserve">, welche in </w:t>
      </w:r>
      <w:r w:rsidR="004F0950" w:rsidRPr="004F5553">
        <w:rPr>
          <w:highlight w:val="yellow"/>
          <w:lang w:val="de-DE"/>
        </w:rPr>
        <w:fldChar w:fldCharType="begin"/>
      </w:r>
      <w:r w:rsidR="004F0950" w:rsidRPr="004F5553">
        <w:rPr>
          <w:highlight w:val="yellow"/>
          <w:lang w:val="de-DE"/>
        </w:rPr>
        <w:instrText xml:space="preserve"> REF _Ref469399146 \h  \* MERGEFORMAT </w:instrText>
      </w:r>
      <w:r w:rsidR="004F0950" w:rsidRPr="004F5553">
        <w:rPr>
          <w:highlight w:val="yellow"/>
          <w:lang w:val="de-DE"/>
        </w:rPr>
      </w:r>
      <w:r w:rsidR="004F0950" w:rsidRPr="004F5553">
        <w:rPr>
          <w:highlight w:val="yellow"/>
          <w:lang w:val="de-DE"/>
        </w:rPr>
        <w:fldChar w:fldCharType="separate"/>
      </w:r>
      <w:r w:rsidR="004F0950" w:rsidRPr="004F5553">
        <w:rPr>
          <w:highlight w:val="yellow"/>
          <w:lang w:val="de-DE"/>
        </w:rPr>
        <w:t xml:space="preserve">Abbildung </w:t>
      </w:r>
      <w:r w:rsidR="004F0950" w:rsidRPr="004F5553">
        <w:rPr>
          <w:noProof/>
          <w:highlight w:val="yellow"/>
          <w:lang w:val="de-DE"/>
        </w:rPr>
        <w:t>2</w:t>
      </w:r>
      <w:r w:rsidR="004F0950" w:rsidRPr="004F5553">
        <w:rPr>
          <w:highlight w:val="yellow"/>
          <w:lang w:val="de-DE"/>
        </w:rPr>
        <w:fldChar w:fldCharType="end"/>
      </w:r>
      <w:r w:rsidR="004F0950" w:rsidRPr="004F5553">
        <w:rPr>
          <w:highlight w:val="yellow"/>
          <w:lang w:val="de-DE"/>
        </w:rPr>
        <w:t xml:space="preserve"> dargestellt ist</w:t>
      </w:r>
      <w:r w:rsidR="006940C0" w:rsidRPr="004F5553">
        <w:rPr>
          <w:highlight w:val="yellow"/>
          <w:lang w:val="de-DE"/>
        </w:rPr>
        <w:t xml:space="preserve">. </w:t>
      </w:r>
      <w:r w:rsidRPr="004F5553">
        <w:rPr>
          <w:highlight w:val="yellow"/>
          <w:lang w:val="de-DE"/>
        </w:rPr>
        <w:t xml:space="preserve">Während die Client-Komponente </w:t>
      </w:r>
      <w:r w:rsidR="00EC4695" w:rsidRPr="004F5553">
        <w:rPr>
          <w:highlight w:val="yellow"/>
          <w:lang w:val="de-DE"/>
        </w:rPr>
        <w:t xml:space="preserve">sehr schlank ist und </w:t>
      </w:r>
      <w:r w:rsidRPr="004F5553">
        <w:rPr>
          <w:highlight w:val="yellow"/>
          <w:lang w:val="de-DE"/>
        </w:rPr>
        <w:t xml:space="preserve">hauptsächlich nur die Masken, ein UI-Model, Navigations- und Validierungslogik enthält, </w:t>
      </w:r>
      <w:r w:rsidR="006940C0" w:rsidRPr="004F5553">
        <w:rPr>
          <w:highlight w:val="yellow"/>
          <w:lang w:val="de-DE"/>
        </w:rPr>
        <w:t>ist jegliche Kommunikation den Konnektoren-Komponenten überlassen.</w:t>
      </w:r>
    </w:p>
    <w:p w:rsidR="00D102B3" w:rsidRPr="004F5553" w:rsidRDefault="006940C0" w:rsidP="00A640EA">
      <w:pPr>
        <w:jc w:val="both"/>
        <w:rPr>
          <w:highlight w:val="yellow"/>
          <w:lang w:val="de-DE"/>
        </w:rPr>
      </w:pPr>
      <w:r w:rsidRPr="004F5553">
        <w:rPr>
          <w:highlight w:val="yellow"/>
          <w:lang w:val="de-DE"/>
        </w:rPr>
        <w:t>Diese Konnektoren sind rein technische Komponenten ohne jegliche Fachlogik</w:t>
      </w:r>
      <w:r w:rsidRPr="004F5553">
        <w:rPr>
          <w:rStyle w:val="Funotenzeichen"/>
          <w:highlight w:val="yellow"/>
          <w:lang w:val="de-DE"/>
        </w:rPr>
        <w:footnoteReference w:id="5"/>
      </w:r>
      <w:r w:rsidRPr="004F5553">
        <w:rPr>
          <w:highlight w:val="yellow"/>
          <w:lang w:val="de-DE"/>
        </w:rPr>
        <w:t>. Sie sind generisch und über Schnittstellen für jeden Client individuell konfigurierbar.</w:t>
      </w:r>
      <w:r w:rsidR="00DD43B3" w:rsidRPr="004F5553">
        <w:rPr>
          <w:highlight w:val="yellow"/>
          <w:lang w:val="de-DE"/>
        </w:rPr>
        <w:t xml:space="preserve"> </w:t>
      </w:r>
      <w:r w:rsidR="00A2652C" w:rsidRPr="004F5553">
        <w:rPr>
          <w:highlight w:val="yellow"/>
          <w:lang w:val="de-DE"/>
        </w:rPr>
        <w:t>Dies führt zu einer ve</w:t>
      </w:r>
      <w:r w:rsidR="00EC4695" w:rsidRPr="004F5553">
        <w:rPr>
          <w:highlight w:val="yellow"/>
          <w:lang w:val="de-DE"/>
        </w:rPr>
        <w:t xml:space="preserve">rbesserten Wiederverwendbarkeit, welche </w:t>
      </w:r>
      <w:r w:rsidR="00A2652C" w:rsidRPr="004F5553">
        <w:rPr>
          <w:highlight w:val="yellow"/>
          <w:lang w:val="de-DE"/>
        </w:rPr>
        <w:t xml:space="preserve">bspw. </w:t>
      </w:r>
      <w:r w:rsidR="00EC4695" w:rsidRPr="004F5553">
        <w:rPr>
          <w:highlight w:val="yellow"/>
          <w:lang w:val="de-DE"/>
        </w:rPr>
        <w:t>bei der Implementierung des</w:t>
      </w:r>
      <w:r w:rsidR="00A2652C" w:rsidRPr="004F5553">
        <w:rPr>
          <w:highlight w:val="yellow"/>
          <w:lang w:val="de-DE"/>
        </w:rPr>
        <w:t xml:space="preserve"> Benchmark</w:t>
      </w:r>
      <w:r w:rsidR="00E13CC5">
        <w:rPr>
          <w:highlight w:val="yellow"/>
          <w:lang w:val="de-DE"/>
        </w:rPr>
        <w:t>-C</w:t>
      </w:r>
      <w:r w:rsidR="00A2652C" w:rsidRPr="004F5553">
        <w:rPr>
          <w:highlight w:val="yellow"/>
          <w:lang w:val="de-DE"/>
        </w:rPr>
        <w:t>lient</w:t>
      </w:r>
      <w:r w:rsidR="00EC4695" w:rsidRPr="004F5553">
        <w:rPr>
          <w:highlight w:val="yellow"/>
          <w:lang w:val="de-DE"/>
        </w:rPr>
        <w:t>s</w:t>
      </w:r>
      <w:r w:rsidR="00A2652C" w:rsidRPr="004F5553">
        <w:rPr>
          <w:highlight w:val="yellow"/>
          <w:lang w:val="de-DE"/>
        </w:rPr>
        <w:t xml:space="preserve"> oder auch zukünftige neu entwickelte Clients</w:t>
      </w:r>
      <w:r w:rsidR="00EC4695" w:rsidRPr="004F5553">
        <w:rPr>
          <w:highlight w:val="yellow"/>
          <w:lang w:val="de-DE"/>
        </w:rPr>
        <w:t xml:space="preserve"> zum Tragen kommt</w:t>
      </w:r>
      <w:r w:rsidR="00A2652C" w:rsidRPr="004F5553">
        <w:rPr>
          <w:highlight w:val="yellow"/>
          <w:lang w:val="de-DE"/>
        </w:rPr>
        <w:t>. Außerdem ist somit eine vereinfachte Austauschbarkeit der Kommuniktionsmittel gegeben</w:t>
      </w:r>
      <w:r w:rsidR="00144120" w:rsidRPr="004F5553">
        <w:rPr>
          <w:highlight w:val="yellow"/>
          <w:lang w:val="de-DE"/>
        </w:rPr>
        <w:t xml:space="preserve">, sollte die Anbindung an den RESTful Webservice oder JMS </w:t>
      </w:r>
      <w:r w:rsidR="0004733E" w:rsidRPr="004F5553">
        <w:rPr>
          <w:highlight w:val="yellow"/>
          <w:lang w:val="de-DE"/>
        </w:rPr>
        <w:t xml:space="preserve">durch eine andere Kommunikationsart, in bestehenden oder neuen Clients </w:t>
      </w:r>
      <w:r w:rsidR="00144120" w:rsidRPr="004F5553">
        <w:rPr>
          <w:highlight w:val="yellow"/>
          <w:lang w:val="de-DE"/>
        </w:rPr>
        <w:t>ersetzt werden.</w:t>
      </w:r>
      <w:r w:rsidR="00A640EA" w:rsidRPr="004F5553">
        <w:rPr>
          <w:highlight w:val="yellow"/>
          <w:lang w:val="de-DE"/>
        </w:rPr>
        <w:t xml:space="preserve"> Dies ist ebenfalls zum Vorteil der Wart- und Änderbarkeit, da die Kommunikation übergreifend zentral und frei von Redundanzen an den Konnektoren vorgenommen werden können. </w:t>
      </w:r>
    </w:p>
    <w:p w:rsidR="00A2652C" w:rsidRDefault="00A2652C" w:rsidP="00D102B3">
      <w:pPr>
        <w:rPr>
          <w:lang w:val="de-DE"/>
        </w:rPr>
      </w:pPr>
      <w:r w:rsidRPr="004F5553">
        <w:rPr>
          <w:highlight w:val="yellow"/>
          <w:lang w:val="de-DE"/>
        </w:rPr>
        <w:t>&lt;&lt;REST und JMS-Konnketor in Grapfik schreiben!!!&gt;&gt;</w:t>
      </w:r>
    </w:p>
    <w:p w:rsidR="004F0950" w:rsidRDefault="0080571B" w:rsidP="004F0950">
      <w:pPr>
        <w:keepNext/>
      </w:pPr>
      <w:r>
        <w:rPr>
          <w:noProof/>
          <w:lang w:val="de-DE" w:eastAsia="de-DE"/>
        </w:rPr>
        <w:lastRenderedPageBreak/>
        <w:drawing>
          <wp:inline distT="0" distB="0" distL="0" distR="0" wp14:anchorId="76DA225E" wp14:editId="29655AA0">
            <wp:extent cx="3200400" cy="1600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2">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p>
    <w:p w:rsidR="0080571B" w:rsidRDefault="004F0950" w:rsidP="004F0950">
      <w:pPr>
        <w:pStyle w:val="Beschriftung"/>
        <w:rPr>
          <w:lang w:val="de-DE"/>
        </w:rPr>
      </w:pPr>
      <w:bookmarkStart w:id="4" w:name="_Ref469399146"/>
      <w:r w:rsidRPr="00EC601F">
        <w:rPr>
          <w:lang w:val="de-DE"/>
        </w:rPr>
        <w:t xml:space="preserve">Abbildung </w:t>
      </w:r>
      <w:r>
        <w:fldChar w:fldCharType="begin"/>
      </w:r>
      <w:r w:rsidRPr="00EC601F">
        <w:rPr>
          <w:lang w:val="de-DE"/>
        </w:rPr>
        <w:instrText xml:space="preserve"> SEQ Abbildung \* ARABIC </w:instrText>
      </w:r>
      <w:r>
        <w:fldChar w:fldCharType="separate"/>
      </w:r>
      <w:r w:rsidR="00A6598C">
        <w:rPr>
          <w:noProof/>
          <w:lang w:val="de-DE"/>
        </w:rPr>
        <w:t>2</w:t>
      </w:r>
      <w:r>
        <w:fldChar w:fldCharType="end"/>
      </w:r>
      <w:bookmarkEnd w:id="4"/>
      <w:r w:rsidRPr="00EC601F">
        <w:rPr>
          <w:lang w:val="de-DE"/>
        </w:rPr>
        <w:t>: Komponentenmodell des Clients mit Konnektoren</w:t>
      </w:r>
    </w:p>
    <w:p w:rsidR="00D102B3" w:rsidRPr="00D102B3" w:rsidRDefault="00D102B3" w:rsidP="00D102B3">
      <w:pPr>
        <w:rPr>
          <w:lang w:val="de-DE"/>
        </w:rPr>
      </w:pPr>
    </w:p>
    <w:p w:rsidR="00EC2D65" w:rsidRDefault="00EC2D65" w:rsidP="00EC2D65">
      <w:pPr>
        <w:pStyle w:val="berschrift3"/>
        <w:rPr>
          <w:lang w:val="de-DE"/>
        </w:rPr>
      </w:pPr>
      <w:r>
        <w:rPr>
          <w:lang w:val="de-DE"/>
        </w:rPr>
        <w:t>Benchmarking-Client</w:t>
      </w:r>
    </w:p>
    <w:p w:rsidR="00EC2D65" w:rsidRDefault="00E13CC5" w:rsidP="006E07E6">
      <w:pPr>
        <w:jc w:val="both"/>
        <w:rPr>
          <w:lang w:val="de-DE"/>
        </w:rPr>
      </w:pPr>
      <w:r w:rsidRPr="006E07E6">
        <w:rPr>
          <w:highlight w:val="yellow"/>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Pr>
          <w:highlight w:val="yellow"/>
          <w:lang w:val="de-DE"/>
        </w:rPr>
        <w:t xml:space="preserve">an </w:t>
      </w:r>
      <w:r w:rsidRPr="006E07E6">
        <w:rPr>
          <w:highlight w:val="yellow"/>
          <w:lang w:val="de-DE"/>
        </w:rPr>
        <w:t>JMS.</w:t>
      </w:r>
      <w:r w:rsidR="006E07E6">
        <w:rPr>
          <w:lang w:val="de-DE"/>
        </w:rPr>
        <w:t xml:space="preserve"> </w:t>
      </w:r>
    </w:p>
    <w:p w:rsidR="002F6DA6" w:rsidRDefault="002F6DA6" w:rsidP="006E07E6">
      <w:pPr>
        <w:jc w:val="both"/>
        <w:rPr>
          <w:lang w:val="de-DE"/>
        </w:rPr>
      </w:pPr>
    </w:p>
    <w:p w:rsidR="002F6DA6" w:rsidRPr="00EC2D65" w:rsidRDefault="002F6DA6" w:rsidP="002F6DA6">
      <w:pPr>
        <w:rPr>
          <w:lang w:val="de-DE"/>
        </w:rPr>
      </w:pPr>
      <w:r w:rsidRPr="004F5553">
        <w:rPr>
          <w:highlight w:val="yellow"/>
          <w:lang w:val="de-DE"/>
        </w:rPr>
        <w:t>&lt;&lt;REST und JMS-Konnketor in Grapfik schreiben!!!&gt;&gt;</w:t>
      </w:r>
    </w:p>
    <w:p w:rsidR="002F6DA6" w:rsidRDefault="0080571B" w:rsidP="002F6DA6">
      <w:pPr>
        <w:keepNext/>
        <w:ind w:left="144"/>
      </w:pPr>
      <w:r>
        <w:rPr>
          <w:noProof/>
          <w:lang w:val="de-DE" w:eastAsia="de-DE"/>
        </w:rPr>
        <w:drawing>
          <wp:inline distT="0" distB="0" distL="0" distR="0" wp14:anchorId="305263F3" wp14:editId="63D1211D">
            <wp:extent cx="3200400" cy="18218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821815"/>
                    </a:xfrm>
                    <a:prstGeom prst="rect">
                      <a:avLst/>
                    </a:prstGeom>
                  </pic:spPr>
                </pic:pic>
              </a:graphicData>
            </a:graphic>
          </wp:inline>
        </w:drawing>
      </w:r>
    </w:p>
    <w:p w:rsidR="00423420" w:rsidRDefault="002F6DA6" w:rsidP="002F6DA6">
      <w:pPr>
        <w:pStyle w:val="Beschriftung"/>
        <w:rPr>
          <w:lang w:val="de-DE"/>
        </w:rPr>
      </w:pPr>
      <w:r w:rsidRPr="00A6598C">
        <w:rPr>
          <w:lang w:val="de-DE"/>
        </w:rPr>
        <w:t xml:space="preserve">Abbildung </w:t>
      </w:r>
      <w:r>
        <w:fldChar w:fldCharType="begin"/>
      </w:r>
      <w:r w:rsidRPr="00A6598C">
        <w:rPr>
          <w:lang w:val="de-DE"/>
        </w:rPr>
        <w:instrText xml:space="preserve"> SEQ Abbildung \* ARABIC </w:instrText>
      </w:r>
      <w:r>
        <w:fldChar w:fldCharType="separate"/>
      </w:r>
      <w:r w:rsidR="00A6598C" w:rsidRPr="00A6598C">
        <w:rPr>
          <w:noProof/>
          <w:lang w:val="de-DE"/>
        </w:rPr>
        <w:t>3</w:t>
      </w:r>
      <w:r>
        <w:fldChar w:fldCharType="end"/>
      </w:r>
      <w:r w:rsidRPr="00A6598C">
        <w:rPr>
          <w:lang w:val="de-DE"/>
        </w:rPr>
        <w:t>: Komponentenmodell des Benchmarking-Clients</w:t>
      </w:r>
    </w:p>
    <w:p w:rsidR="00D51C3B" w:rsidRPr="000A5242" w:rsidRDefault="00760126" w:rsidP="009755FD">
      <w:pPr>
        <w:pStyle w:val="berschrift2"/>
        <w:rPr>
          <w:lang w:val="de-DE"/>
        </w:rPr>
      </w:pPr>
      <w:r w:rsidRPr="000A5242">
        <w:rPr>
          <w:lang w:val="de-DE"/>
        </w:rPr>
        <w:t>Datenmodell</w:t>
      </w:r>
    </w:p>
    <w:p w:rsidR="00760126" w:rsidRDefault="00760126" w:rsidP="00760126">
      <w:pPr>
        <w:rPr>
          <w:lang w:val="de-DE"/>
        </w:rPr>
      </w:pPr>
    </w:p>
    <w:p w:rsidR="00355199" w:rsidRPr="00EC2D65" w:rsidRDefault="00355199" w:rsidP="00355199">
      <w:pPr>
        <w:rPr>
          <w:lang w:val="de-DE"/>
        </w:rPr>
      </w:pPr>
      <w:r w:rsidRPr="004F5553">
        <w:rPr>
          <w:highlight w:val="yellow"/>
          <w:lang w:val="de-DE"/>
        </w:rPr>
        <w:t>&lt;&lt;</w:t>
      </w:r>
      <w:r>
        <w:rPr>
          <w:highlight w:val="yellow"/>
          <w:lang w:val="de-DE"/>
        </w:rPr>
        <w:t>Datenmodell</w:t>
      </w:r>
      <w:r w:rsidRPr="004F5553">
        <w:rPr>
          <w:highlight w:val="yellow"/>
          <w:lang w:val="de-DE"/>
        </w:rPr>
        <w:t>&gt;&gt;</w:t>
      </w:r>
    </w:p>
    <w:p w:rsidR="00355199" w:rsidRPr="000A5242" w:rsidRDefault="00355199"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F84C54" w:rsidRPr="00EC2D65" w:rsidRDefault="00F84C54" w:rsidP="00F84C54">
      <w:pPr>
        <w:rPr>
          <w:lang w:val="de-DE"/>
        </w:rPr>
      </w:pPr>
      <w:r w:rsidRPr="004F5553">
        <w:rPr>
          <w:highlight w:val="yellow"/>
          <w:lang w:val="de-DE"/>
        </w:rPr>
        <w:t>&lt;&lt;</w:t>
      </w:r>
      <w:r>
        <w:rPr>
          <w:highlight w:val="yellow"/>
          <w:lang w:val="de-DE"/>
        </w:rPr>
        <w:t>Sequenzdiagramm</w:t>
      </w:r>
      <w:r w:rsidRPr="004F5553">
        <w:rPr>
          <w:highlight w:val="yellow"/>
          <w:lang w:val="de-DE"/>
        </w:rPr>
        <w:t>&gt;&gt;</w:t>
      </w: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4409FA" w:rsidRDefault="004409FA" w:rsidP="004409FA">
      <w:pPr>
        <w:jc w:val="both"/>
        <w:rPr>
          <w:highlight w:val="yellow"/>
          <w:lang w:val="de-DE"/>
        </w:rPr>
      </w:pPr>
      <w:r>
        <w:rPr>
          <w:highlight w:val="yellow"/>
          <w:lang w:val="de-DE"/>
        </w:rPr>
        <w:t>I</w:t>
      </w:r>
      <w:r>
        <w:rPr>
          <w:highlight w:val="yellow"/>
          <w:lang w:val="de-DE"/>
        </w:rPr>
        <w:t>m</w:t>
      </w:r>
      <w:r>
        <w:rPr>
          <w:highlight w:val="yellow"/>
          <w:lang w:val="de-DE"/>
        </w:rPr>
        <w:t xml:space="preserve"> Folgenden wird nun auf die Umsetzung der</w:t>
      </w:r>
      <w:r>
        <w:rPr>
          <w:highlight w:val="yellow"/>
          <w:lang w:val="de-DE"/>
        </w:rPr>
        <w:t xml:space="preserve"> </w:t>
      </w:r>
      <w:r>
        <w:rPr>
          <w:highlight w:val="yellow"/>
          <w:lang w:val="de-DE"/>
        </w:rPr>
        <w:t>vorab beschrieben</w:t>
      </w:r>
      <w:r>
        <w:rPr>
          <w:highlight w:val="yellow"/>
          <w:lang w:val="de-DE"/>
        </w:rPr>
        <w:t xml:space="preserve"> Architektur</w:t>
      </w:r>
      <w:r>
        <w:rPr>
          <w:highlight w:val="yellow"/>
          <w:lang w:val="de-DE"/>
        </w:rPr>
        <w:t xml:space="preserve">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B64FA2">
      <w:pPr>
        <w:pStyle w:val="berschrift2"/>
        <w:rPr>
          <w:lang w:val="de-DE"/>
        </w:rPr>
      </w:pPr>
      <w:r w:rsidRPr="000A5242">
        <w:rPr>
          <w:lang w:val="de-DE"/>
        </w:rPr>
        <w:lastRenderedPageBreak/>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BF476B" w:rsidRDefault="00B7304C" w:rsidP="004409FA">
      <w:pPr>
        <w:pStyle w:val="berschrift3"/>
        <w:rPr>
          <w:highlight w:val="yellow"/>
          <w:lang w:val="de-DE"/>
        </w:rPr>
      </w:pPr>
      <w:r w:rsidRPr="00BF476B">
        <w:rPr>
          <w:highlight w:val="yellow"/>
          <w:lang w:val="de-DE"/>
        </w:rPr>
        <w:t>Das Build- und Deploymanagement</w:t>
      </w:r>
    </w:p>
    <w:p w:rsidR="00310DA8" w:rsidRDefault="00310DA8" w:rsidP="0064330C">
      <w:pPr>
        <w:pStyle w:val="Text"/>
        <w:ind w:firstLine="0"/>
        <w:rPr>
          <w:lang w:val="de-DE"/>
        </w:rPr>
      </w:pPr>
      <w:r w:rsidRPr="00BB635C">
        <w:rPr>
          <w:lang w:val="de-DE"/>
        </w:rPr>
        <w:t>Mittels des Einsatzes eines Dependency- und Buildmanagement-Tools</w:t>
      </w:r>
      <w:r>
        <w:rPr>
          <w:lang w:val="de-DE"/>
        </w:rPr>
        <w:t>,</w:t>
      </w:r>
      <w:r w:rsidRPr="00BB635C">
        <w:rPr>
          <w:lang w:val="de-DE"/>
        </w:rPr>
        <w:t xml:space="preserve"> wie </w:t>
      </w:r>
      <w:r>
        <w:rPr>
          <w:lang w:val="de-DE"/>
        </w:rPr>
        <w:t xml:space="preserve">das verwendete </w:t>
      </w:r>
      <w:r w:rsidRPr="00BB635C">
        <w:rPr>
          <w:lang w:val="de-DE"/>
        </w:rPr>
        <w:t xml:space="preserve">Apache Maven, bringt die neue Chatanwendung viele Vorteile mit sich. Hierzu zählt neben einem vereinfachten und redundanzfreien Verwalten der Abhängigkeiten zu bestimmten Bibliotheken, </w:t>
      </w:r>
      <w:r w:rsidRPr="00BB635C">
        <w:rPr>
          <w:lang w:val="de-DE"/>
        </w:rPr>
        <w:lastRenderedPageBreak/>
        <w:t>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00D211A7" w:rsidRPr="00BB635C">
        <w:rPr>
          <w:rStyle w:val="Funotenzeichen"/>
          <w:i/>
          <w:lang w:val="de-DE"/>
        </w:rPr>
        <w:footnoteReference w:id="9"/>
      </w:r>
      <w:r w:rsidRPr="00BB635C">
        <w:rPr>
          <w:lang w:val="de-DE"/>
        </w:rPr>
        <w:t xml:space="preserve"> entkoppelt bietet viele neue Funktionalitäten. Diese umfassen unter anderem </w:t>
      </w:r>
      <w:r w:rsidR="00E20C7D" w:rsidRPr="00BB635C">
        <w:rPr>
          <w:lang w:val="de-DE"/>
        </w:rPr>
        <w:t>die Live-Berechnung und Ausgabe verschiedener Kenngrößen bereits 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RESTful Webservice </w:t>
      </w:r>
    </w:p>
    <w:p w:rsidR="00BF476B" w:rsidRPr="000A5242" w:rsidRDefault="00BF476B" w:rsidP="00BF476B">
      <w:pPr>
        <w:rPr>
          <w:lang w:val="de-DE"/>
        </w:rPr>
      </w:pPr>
    </w:p>
    <w:p w:rsidR="00BF476B" w:rsidRDefault="00BF476B" w:rsidP="00BF476B">
      <w:pPr>
        <w:shd w:val="clear" w:color="auto" w:fill="FFFFFF"/>
        <w:autoSpaceDE/>
        <w:autoSpaceDN/>
        <w:spacing w:after="240"/>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Pr>
          <w:color w:val="000000"/>
          <w:lang w:val="de-DE" w:eastAsia="de-DE"/>
        </w:rPr>
        <w:instrText xml:space="preserve"> ADDIN ZOTERO_ITEM CSL_CITATION {"citationID":"2f81lp6ds5","properties":{"formattedCitation":"[6]","plainCitation":"[6]"},"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0A5242" w:rsidRDefault="00BF476B" w:rsidP="00BF476B">
      <w:pPr>
        <w:pStyle w:val="Text"/>
        <w:ind w:firstLine="0"/>
        <w:rPr>
          <w:lang w:val="de-DE"/>
        </w:rPr>
      </w:pPr>
      <w:r>
        <w:rPr>
          <w:lang w:val="de-DE"/>
        </w:rPr>
        <w:t>&lt;&lt;Eingehen auf JAX-RS und ggf. Fehlerbehandlung/Retry-Mechanismus&gt;&gt;</w:t>
      </w:r>
    </w:p>
    <w:p w:rsidR="0064330C" w:rsidRPr="000A5242" w:rsidRDefault="009E4531" w:rsidP="0064330C">
      <w:pPr>
        <w:pStyle w:val="berschrift2"/>
        <w:rPr>
          <w:lang w:val="de-DE"/>
        </w:rPr>
      </w:pPr>
      <w:r w:rsidRPr="000A5242">
        <w:rPr>
          <w:lang w:val="de-DE"/>
        </w:rPr>
        <w:t>Umsetzung einer gemäß XA verteilten Transaktion</w:t>
      </w:r>
    </w:p>
    <w:p w:rsidR="009755FD" w:rsidRDefault="009755FD" w:rsidP="009755FD">
      <w:pPr>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9755FD">
      <w:pPr>
        <w:rPr>
          <w:lang w:val="de-DE"/>
        </w:rPr>
      </w:pPr>
    </w:p>
    <w:p w:rsidR="009755FD" w:rsidRDefault="009755FD" w:rsidP="009755FD">
      <w:pPr>
        <w:pStyle w:val="Listenabsatz"/>
        <w:numPr>
          <w:ilvl w:val="0"/>
          <w:numId w:val="23"/>
        </w:numPr>
        <w:rPr>
          <w:lang w:val="de-DE"/>
        </w:rPr>
      </w:pPr>
      <w:r w:rsidRPr="000A5242">
        <w:rPr>
          <w:lang w:val="de-DE"/>
        </w:rPr>
        <w:t>EJB</w:t>
      </w:r>
    </w:p>
    <w:p w:rsidR="009755FD" w:rsidRDefault="009755FD" w:rsidP="009755FD">
      <w:pPr>
        <w:rPr>
          <w:lang w:val="de-DE"/>
        </w:rPr>
      </w:pPr>
      <w:r>
        <w:rPr>
          <w:lang w:val="de-DE"/>
        </w:rPr>
        <w:t xml:space="preserve">Die Enterprise-Java-Beans-Spezifikation (EJB) ist Bestandteil von JEE und unterstützt die Umssetzung verteilter Komponentensysteme. Für die Implementierung verteilter </w:t>
      </w:r>
      <w:r>
        <w:rPr>
          <w:lang w:val="de-DE"/>
        </w:rPr>
        <w:lastRenderedPageBreak/>
        <w:t>Transaktionen mit EJB wird ein Transaktionsmanager benötigt.</w:t>
      </w:r>
    </w:p>
    <w:p w:rsidR="009755FD" w:rsidRDefault="009755FD" w:rsidP="009755FD">
      <w:pPr>
        <w:rPr>
          <w:lang w:val="de-DE"/>
        </w:rPr>
      </w:pPr>
    </w:p>
    <w:p w:rsidR="009755FD" w:rsidRDefault="009755FD" w:rsidP="009755FD">
      <w:pPr>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9755FD">
      <w:pPr>
        <w:rPr>
          <w:lang w:val="de-DE"/>
        </w:rPr>
      </w:pPr>
      <w:r>
        <w:rPr>
          <w:lang w:val="de-DE"/>
        </w:rPr>
        <w:t>-XA Datasources</w:t>
      </w:r>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Default="009E4531" w:rsidP="008A7497">
      <w:pPr>
        <w:rPr>
          <w:lang w:val="de-DE"/>
        </w:rPr>
      </w:pPr>
    </w:p>
    <w:p w:rsidR="00E15F60" w:rsidRPr="00E15F60" w:rsidRDefault="00E15F60" w:rsidP="00E15F60">
      <w:pPr>
        <w:pStyle w:val="berschrift2"/>
        <w:rPr>
          <w:lang w:val="de-DE"/>
        </w:rPr>
      </w:pPr>
      <w:r>
        <w:rPr>
          <w:lang w:val="de-DE"/>
        </w:rPr>
        <w:t>Weitere Umsetzungsmerkmale</w:t>
      </w:r>
    </w:p>
    <w:p w:rsidR="00E15F60" w:rsidRDefault="00E15F60" w:rsidP="008A7497">
      <w:pPr>
        <w:rPr>
          <w:lang w:val="de-DE"/>
        </w:rPr>
      </w:pPr>
      <w:r>
        <w:rPr>
          <w:lang w:val="de-DE"/>
        </w:rPr>
        <w:t>Neben den vielen Änderungen und neu eingebauten Funktionen, weißt die anhängende Chatanwendung weitere zusätzliche Merkmale auf, die im Folgenden gelistet sind:</w:t>
      </w:r>
    </w:p>
    <w:p w:rsidR="003801C2" w:rsidRDefault="003801C2" w:rsidP="008A7497">
      <w:pPr>
        <w:rPr>
          <w:lang w:val="de-DE"/>
        </w:rPr>
      </w:pPr>
    </w:p>
    <w:p w:rsidR="00E15F60" w:rsidRDefault="00E15F60" w:rsidP="00E15F60">
      <w:pPr>
        <w:pStyle w:val="Listenabsatz"/>
        <w:numPr>
          <w:ilvl w:val="0"/>
          <w:numId w:val="31"/>
        </w:numPr>
        <w:rPr>
          <w:lang w:val="de-DE"/>
        </w:rPr>
      </w:pPr>
      <w:r>
        <w:rPr>
          <w:lang w:val="de-DE"/>
        </w:rPr>
        <w:t xml:space="preserve">Sowohl Chat-Client, als auch Benchmarking-Client werden durch einen Build-Vorgang zusätzlich in nativen EXE-Dateien bereitgestellt und sind somit typischerweise auf jedem PC </w:t>
      </w:r>
      <w:r>
        <w:rPr>
          <w:lang w:val="de-DE"/>
        </w:rPr>
        <w:t xml:space="preserve">einfach </w:t>
      </w:r>
      <w:r>
        <w:rPr>
          <w:lang w:val="de-DE"/>
        </w:rPr>
        <w:t>ausführbar.</w:t>
      </w:r>
    </w:p>
    <w:p w:rsidR="00E15F60" w:rsidRDefault="00E15F60" w:rsidP="00E15F60">
      <w:pPr>
        <w:pStyle w:val="Listenabsatz"/>
        <w:numPr>
          <w:ilvl w:val="0"/>
          <w:numId w:val="31"/>
        </w:numPr>
        <w:rPr>
          <w:lang w:val="de-DE"/>
        </w:rPr>
      </w:pPr>
      <w:r>
        <w:rPr>
          <w:lang w:val="de-DE"/>
        </w:rPr>
        <w:t>Der Benchmarking-Client bereitet bereits während der Testdurchführung unterschiedliche Diagramme auf und stellt diese Live in der Maske dar.</w:t>
      </w:r>
    </w:p>
    <w:p w:rsidR="003801C2" w:rsidRPr="00E15F60" w:rsidRDefault="003801C2" w:rsidP="00E15F60">
      <w:pPr>
        <w:pStyle w:val="Listenabsatz"/>
        <w:numPr>
          <w:ilvl w:val="0"/>
          <w:numId w:val="31"/>
        </w:num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bookmarkStart w:id="5" w:name="_GoBack"/>
      <w:bookmarkEnd w:id="5"/>
      <w:r>
        <w:rPr>
          <w:lang w:val="de-DE"/>
        </w:rPr>
        <w:t>nceoptimierung</w:t>
      </w:r>
    </w:p>
    <w:p w:rsidR="00C0494A" w:rsidRPr="000A5242" w:rsidRDefault="00C0494A">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D51C3B" w:rsidRPr="000A5242" w:rsidRDefault="00D51C3B">
      <w:pPr>
        <w:pStyle w:val="ReferenceHead"/>
        <w:rPr>
          <w:lang w:val="de-DE"/>
        </w:rPr>
      </w:pPr>
      <w:r w:rsidRPr="000A5242">
        <w:rPr>
          <w:lang w:val="de-DE"/>
        </w:rPr>
        <w:lastRenderedPageBreak/>
        <w:t>Appendix</w:t>
      </w:r>
    </w:p>
    <w:p w:rsidR="005C7C66" w:rsidRPr="00565C3F" w:rsidRDefault="005C7C66" w:rsidP="005C7C66">
      <w:pPr>
        <w:pStyle w:val="berschrift2"/>
        <w:rPr>
          <w:lang w:val="de-DE"/>
        </w:rPr>
      </w:pPr>
      <w:bookmarkStart w:id="6" w:name="_Ref469407729"/>
      <w:r w:rsidRPr="00565C3F">
        <w:rPr>
          <w:lang w:val="de-DE"/>
        </w:rPr>
        <w:t>Gesamtarchitekturen im Vergleich</w:t>
      </w:r>
      <w:bookmarkEnd w:id="6"/>
    </w:p>
    <w:p w:rsidR="005C7C66" w:rsidRDefault="005C7C66" w:rsidP="00C03968">
      <w:pPr>
        <w:rPr>
          <w:lang w:val="de-DE"/>
        </w:rPr>
      </w:pPr>
      <w:r w:rsidRPr="00BB635C">
        <w:rPr>
          <w:highlight w:val="yellow"/>
          <w:lang w:val="de-DE"/>
        </w:rPr>
        <w:t>&lt;Grafik alt&gt;</w:t>
      </w:r>
    </w:p>
    <w:p w:rsidR="009B17B7" w:rsidRPr="00565C3F" w:rsidRDefault="00A6598C" w:rsidP="005C7C66">
      <w:pPr>
        <w:pStyle w:val="Text"/>
        <w:ind w:firstLine="0"/>
        <w:rPr>
          <w:lang w:val="de-DE"/>
        </w:rPr>
      </w:pPr>
      <w:r>
        <w:rPr>
          <w:noProof/>
        </w:rPr>
        <w:lastRenderedPageBreak/>
        <mc:AlternateContent>
          <mc:Choice Requires="wps">
            <w:drawing>
              <wp:anchor distT="0" distB="0" distL="114300" distR="114300" simplePos="0" relativeHeight="251660288" behindDoc="0" locked="0" layoutInCell="1" allowOverlap="1" wp14:anchorId="602665E4" wp14:editId="3C1FBEA9">
                <wp:simplePos x="0" y="0"/>
                <wp:positionH relativeFrom="column">
                  <wp:posOffset>0</wp:posOffset>
                </wp:positionH>
                <wp:positionV relativeFrom="paragraph">
                  <wp:posOffset>6487160</wp:posOffset>
                </wp:positionV>
                <wp:extent cx="656463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64630" cy="635"/>
                        </a:xfrm>
                        <a:prstGeom prst="rect">
                          <a:avLst/>
                        </a:prstGeom>
                        <a:solidFill>
                          <a:prstClr val="white"/>
                        </a:solidFill>
                        <a:ln>
                          <a:noFill/>
                        </a:ln>
                        <a:effectLst/>
                      </wps:spPr>
                      <wps:txbx>
                        <w:txbxContent>
                          <w:p w:rsidR="00A6598C" w:rsidRPr="00A6598C" w:rsidRDefault="00A6598C" w:rsidP="00A6598C">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Pr="00A6598C">
                              <w:rPr>
                                <w:noProof/>
                                <w:lang w:val="de-DE"/>
                              </w:rPr>
                              <w:t>4</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0;margin-top:510.8pt;width:51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" stroked="f">
                <v:textbox style="mso-fit-shape-to-text:t" inset="0,0,0,0">
                  <w:txbxContent>
                    <w:p w:rsidR="00A6598C" w:rsidRPr="00A6598C" w:rsidRDefault="00A6598C" w:rsidP="00A6598C">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Pr="00A6598C">
                        <w:rPr>
                          <w:noProof/>
                          <w:lang w:val="de-DE"/>
                        </w:rPr>
                        <w:t>4</w:t>
                      </w:r>
                      <w:r>
                        <w:fldChar w:fldCharType="end"/>
                      </w:r>
                      <w:bookmarkEnd w:id="8"/>
                      <w:r w:rsidRPr="00A6598C">
                        <w:rPr>
                          <w:lang w:val="de-DE"/>
                        </w:rPr>
                        <w:t>: Anwendungsüberblick in Form eines Komponentenmodells</w:t>
                      </w:r>
                    </w:p>
                  </w:txbxContent>
                </v:textbox>
                <w10:wrap type="square"/>
              </v:shape>
            </w:pict>
          </mc:Fallback>
        </mc:AlternateContent>
      </w:r>
      <w:r w:rsidR="00C03968">
        <w:rPr>
          <w:noProof/>
          <w:lang w:val="de-DE"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564630" cy="6430010"/>
            <wp:effectExtent l="0" t="0" r="762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4">
                      <a:extLst>
                        <a:ext uri="{28A0092B-C50C-407E-A947-70E740481C1C}">
                          <a14:useLocalDpi xmlns:a14="http://schemas.microsoft.com/office/drawing/2010/main" val="0"/>
                        </a:ext>
                      </a:extLst>
                    </a:blip>
                    <a:stretch>
                      <a:fillRect/>
                    </a:stretch>
                  </pic:blipFill>
                  <pic:spPr>
                    <a:xfrm>
                      <a:off x="0" y="0"/>
                      <a:ext cx="6564630" cy="6430010"/>
                    </a:xfrm>
                    <a:prstGeom prst="rect">
                      <a:avLst/>
                    </a:prstGeom>
                  </pic:spPr>
                </pic:pic>
              </a:graphicData>
            </a:graphic>
            <wp14:sizeRelH relativeFrom="margin">
              <wp14:pctWidth>0</wp14:pctWidth>
            </wp14:sizeRelH>
            <wp14:sizeRelV relativeFrom="margin">
              <wp14:pctHeight>0</wp14:pctHeight>
            </wp14:sizeRelV>
          </wp:anchor>
        </w:drawing>
      </w:r>
    </w:p>
    <w:p w:rsidR="00C03968" w:rsidRDefault="00C03968">
      <w:pPr>
        <w:autoSpaceDE/>
        <w:autoSpaceDN/>
        <w:rPr>
          <w:lang w:val="de-DE"/>
        </w:rPr>
      </w:pPr>
      <w:r>
        <w:rPr>
          <w:lang w:val="de-DE"/>
        </w:rPr>
        <w:br w:type="page"/>
      </w:r>
    </w:p>
    <w:p w:rsidR="00E47948" w:rsidRPr="00565C3F" w:rsidRDefault="00E47948" w:rsidP="00BB635C">
      <w:pPr>
        <w:pStyle w:val="berschrift2"/>
        <w:rPr>
          <w:lang w:val="de-DE"/>
        </w:rPr>
      </w:pPr>
      <w:r w:rsidRPr="00565C3F">
        <w:rPr>
          <w:lang w:val="de-DE"/>
        </w:rPr>
        <w:lastRenderedPageBreak/>
        <w:t>Masken der Clients</w:t>
      </w:r>
    </w:p>
    <w:p w:rsidR="00E47948" w:rsidRPr="00565C3F" w:rsidRDefault="00E47948" w:rsidP="00E47948">
      <w:pPr>
        <w:pStyle w:val="berschrift3"/>
        <w:rPr>
          <w:lang w:val="de-DE"/>
        </w:rPr>
      </w:pPr>
      <w:r w:rsidRPr="00565C3F">
        <w:rPr>
          <w:lang w:val="de-DE"/>
        </w:rPr>
        <w:t>Chatclient Masken</w:t>
      </w:r>
    </w:p>
    <w:p w:rsidR="00E47948" w:rsidRPr="00BB635C" w:rsidRDefault="00E47948" w:rsidP="00E47948">
      <w:pPr>
        <w:rPr>
          <w:highlight w:val="yellow"/>
          <w:lang w:val="de-DE"/>
        </w:rPr>
      </w:pPr>
      <w:r w:rsidRPr="00BB635C">
        <w:rPr>
          <w:highlight w:val="yellow"/>
          <w:lang w:val="de-DE"/>
        </w:rPr>
        <w:t>&lt;Grafik login&gt;</w:t>
      </w:r>
    </w:p>
    <w:p w:rsidR="00E47948" w:rsidRPr="00565C3F" w:rsidRDefault="00E47948" w:rsidP="00E47948">
      <w:pPr>
        <w:rPr>
          <w:lang w:val="de-DE"/>
        </w:rPr>
      </w:pPr>
      <w:r w:rsidRPr="00BB635C">
        <w:rPr>
          <w:highlight w:val="yellow"/>
          <w:lang w:val="de-DE"/>
        </w:rPr>
        <w:t>&lt;Grafik chatmaske&gt;</w:t>
      </w:r>
    </w:p>
    <w:p w:rsidR="00E47948" w:rsidRPr="00565C3F" w:rsidRDefault="00E47948" w:rsidP="00E47948">
      <w:pPr>
        <w:rPr>
          <w:lang w:val="de-DE"/>
        </w:rPr>
      </w:pPr>
    </w:p>
    <w:p w:rsidR="00E47948" w:rsidRPr="00565C3F" w:rsidRDefault="00E47948" w:rsidP="00E47948">
      <w:pPr>
        <w:pStyle w:val="berschrift3"/>
        <w:rPr>
          <w:lang w:val="de-DE"/>
        </w:rPr>
      </w:pPr>
      <w:r w:rsidRPr="00565C3F">
        <w:rPr>
          <w:lang w:val="de-DE"/>
        </w:rPr>
        <w:t>Benchmarkingclient Masken</w:t>
      </w:r>
    </w:p>
    <w:p w:rsidR="00E47948" w:rsidRPr="00E47948" w:rsidRDefault="00E47948" w:rsidP="00E47948">
      <w:pPr>
        <w:rPr>
          <w:lang w:val="de-DE"/>
        </w:rPr>
      </w:pPr>
      <w:r w:rsidRPr="00BB635C">
        <w:rPr>
          <w:highlight w:val="yellow"/>
          <w:lang w:val="de-DE"/>
        </w:rPr>
        <w:t>&lt;&lt;Grafiken der einzelnen Tabs&gt;&gt;</w:t>
      </w:r>
    </w:p>
    <w:p w:rsidR="00C03968" w:rsidRDefault="00C03968">
      <w:pPr>
        <w:pStyle w:val="ReferenceHead"/>
        <w:rPr>
          <w:lang w:val="de-DE"/>
        </w:rPr>
      </w:pPr>
    </w:p>
    <w:p w:rsidR="00C03968" w:rsidRDefault="00C03968">
      <w:pPr>
        <w:pStyle w:val="ReferenceHead"/>
        <w:rPr>
          <w:lang w:val="de-DE"/>
        </w:rPr>
      </w:pPr>
    </w:p>
    <w:p w:rsidR="00C03968" w:rsidRDefault="00C03968">
      <w:pPr>
        <w:autoSpaceDE/>
        <w:autoSpaceDN/>
        <w:rPr>
          <w:smallCaps/>
          <w:kern w:val="28"/>
          <w:lang w:val="de-DE"/>
        </w:rPr>
      </w:pPr>
      <w:r>
        <w:rPr>
          <w:lang w:val="de-DE"/>
        </w:rPr>
        <w:br w:type="page"/>
      </w:r>
    </w:p>
    <w:p w:rsidR="00D51C3B" w:rsidRPr="000A5242" w:rsidRDefault="00D51C3B">
      <w:pPr>
        <w:pStyle w:val="ReferenceHead"/>
        <w:rPr>
          <w:lang w:val="de-DE"/>
        </w:rPr>
      </w:pPr>
      <w:r w:rsidRPr="000A5242">
        <w:rPr>
          <w:lang w:val="de-DE"/>
        </w:rPr>
        <w:lastRenderedPageBreak/>
        <w:t>References</w:t>
      </w:r>
    </w:p>
    <w:p w:rsidR="00E37277" w:rsidRPr="00EC601F" w:rsidRDefault="00F93C74" w:rsidP="00E37277">
      <w:pPr>
        <w:pStyle w:val="Literaturverzeichnis"/>
        <w:rPr>
          <w:lang w:val="de-DE"/>
        </w:rPr>
      </w:pPr>
      <w:r w:rsidRPr="000A5242">
        <w:rPr>
          <w:lang w:val="de-DE"/>
        </w:rPr>
        <w:fldChar w:fldCharType="begin"/>
      </w:r>
      <w:r w:rsidR="00E37277">
        <w:rPr>
          <w:lang w:val="de-DE"/>
        </w:rPr>
        <w:instrText xml:space="preserve"> ADDIN ZOTERO_BIBL {"custom":[]} CSL_BIBLIOGRAPHY </w:instrText>
      </w:r>
      <w:r w:rsidRPr="000A5242">
        <w:rPr>
          <w:lang w:val="de-DE"/>
        </w:rPr>
        <w:fldChar w:fldCharType="separate"/>
      </w:r>
      <w:r w:rsidR="00E37277" w:rsidRPr="00EC601F">
        <w:rPr>
          <w:lang w:val="de-DE"/>
        </w:rPr>
        <w:t>[1]</w:t>
      </w:r>
      <w:r w:rsidR="00E37277" w:rsidRPr="00EC601F">
        <w:rPr>
          <w:lang w:val="de-DE"/>
        </w:rPr>
        <w:tab/>
        <w:t xml:space="preserve">A. Schill und T. Springer, </w:t>
      </w:r>
      <w:r w:rsidR="00E37277" w:rsidRPr="00EC601F">
        <w:rPr>
          <w:i/>
          <w:iCs/>
          <w:lang w:val="de-DE"/>
        </w:rPr>
        <w:t>Verteilte Systeme</w:t>
      </w:r>
      <w:r w:rsidR="00E37277" w:rsidRPr="00EC601F">
        <w:rPr>
          <w:lang w:val="de-DE"/>
        </w:rPr>
        <w:t>. Berlin, Heidelberg: Springer Berlin Heidelberg, 2012.</w:t>
      </w:r>
    </w:p>
    <w:p w:rsidR="00E37277" w:rsidRPr="00EC601F" w:rsidRDefault="00E37277" w:rsidP="00E37277">
      <w:pPr>
        <w:pStyle w:val="Literaturverzeichnis"/>
        <w:rPr>
          <w:lang w:val="de-DE"/>
        </w:rPr>
      </w:pPr>
      <w:r w:rsidRPr="00EC601F">
        <w:rPr>
          <w:lang w:val="de-DE"/>
        </w:rPr>
        <w:t>[2]</w:t>
      </w:r>
      <w:r w:rsidRPr="00EC601F">
        <w:rPr>
          <w:lang w:val="de-DE"/>
        </w:rPr>
        <w:tab/>
        <w:t xml:space="preserve">H. Balzert, </w:t>
      </w:r>
      <w:r w:rsidRPr="00EC601F">
        <w:rPr>
          <w:i/>
          <w:iCs/>
          <w:lang w:val="de-DE"/>
        </w:rPr>
        <w:t>Lehrbuch der Softwaretechnik, Entwurf, Implementierung, Installation und Betrieb</w:t>
      </w:r>
      <w:r w:rsidRPr="00EC601F">
        <w:rPr>
          <w:lang w:val="de-DE"/>
        </w:rPr>
        <w:t>, 3. Aufl. Spektrum, Akademischer Verlag.</w:t>
      </w:r>
    </w:p>
    <w:p w:rsidR="00E37277" w:rsidRPr="00E37277" w:rsidRDefault="00E37277" w:rsidP="00E37277">
      <w:pPr>
        <w:pStyle w:val="Literaturverzeichnis"/>
      </w:pPr>
      <w:r w:rsidRPr="00EC601F">
        <w:rPr>
          <w:lang w:val="de-DE"/>
        </w:rPr>
        <w:t>[3]</w:t>
      </w:r>
      <w:r w:rsidRPr="00EC601F">
        <w:rPr>
          <w:lang w:val="de-DE"/>
        </w:rPr>
        <w:tab/>
        <w:t xml:space="preserve">U. Hammerschall, </w:t>
      </w:r>
      <w:r w:rsidRPr="00EC601F">
        <w:rPr>
          <w:i/>
          <w:iCs/>
          <w:lang w:val="de-DE"/>
        </w:rPr>
        <w:t>Verteilte Systeme und Anwendungen</w:t>
      </w:r>
      <w:r w:rsidRPr="00EC601F">
        <w:rPr>
          <w:lang w:val="de-DE"/>
        </w:rPr>
        <w:t xml:space="preserve">. </w:t>
      </w:r>
      <w:r w:rsidRPr="00E37277">
        <w:t>Pearson Education.</w:t>
      </w:r>
    </w:p>
    <w:p w:rsidR="00E37277" w:rsidRPr="00EC601F" w:rsidRDefault="00E37277" w:rsidP="00E37277">
      <w:pPr>
        <w:pStyle w:val="Literaturverzeichnis"/>
        <w:rPr>
          <w:lang w:val="de-DE"/>
        </w:rPr>
      </w:pPr>
      <w:r w:rsidRPr="00E37277">
        <w:t>[4]</w:t>
      </w:r>
      <w:r w:rsidRPr="00E37277">
        <w:tab/>
        <w:t xml:space="preserve">M. Belshe, M. Thomson, und R. Peon, „Hypertext Transfer Protocol Version 2 (HTTP/2)“. </w:t>
      </w:r>
      <w:r w:rsidRPr="00EC601F">
        <w:rPr>
          <w:lang w:val="de-DE"/>
        </w:rPr>
        <w:t>[Online]. Verfügbar unter: https://tools.ietf.org/html/rfc7540. [Zugegriffen: 05-Dez-2016].</w:t>
      </w:r>
    </w:p>
    <w:p w:rsidR="00E37277" w:rsidRPr="00EC601F" w:rsidRDefault="00E37277" w:rsidP="00E37277">
      <w:pPr>
        <w:pStyle w:val="Literaturverzeichnis"/>
        <w:rPr>
          <w:lang w:val="de-DE"/>
        </w:rPr>
      </w:pPr>
      <w:r w:rsidRPr="00E37277">
        <w:t>[5]</w:t>
      </w:r>
      <w:r w:rsidRPr="00E37277">
        <w:tab/>
        <w:t xml:space="preserve">„Hibernate ORM 5.0 User Guide“. [Online]. </w:t>
      </w:r>
      <w:r w:rsidRPr="00EC601F">
        <w:rPr>
          <w:lang w:val="de-DE"/>
        </w:rPr>
        <w:t>Verfügbar unter: https://docs.jboss.org/hibernate/orm/5.0/userguide/html_single/Hibernate_User_Guide.html. [Zugegriffen: 05-Dez-2016].</w:t>
      </w:r>
    </w:p>
    <w:p w:rsidR="00E37277" w:rsidRPr="00EC601F" w:rsidRDefault="00E37277" w:rsidP="00E37277">
      <w:pPr>
        <w:pStyle w:val="Literaturverzeichnis"/>
        <w:rPr>
          <w:lang w:val="de-DE"/>
        </w:rPr>
      </w:pPr>
      <w:r w:rsidRPr="00EC601F">
        <w:rPr>
          <w:lang w:val="de-DE"/>
        </w:rPr>
        <w:t>[6]</w:t>
      </w:r>
      <w:r w:rsidRPr="00EC601F">
        <w:rPr>
          <w:lang w:val="de-DE"/>
        </w:rPr>
        <w:tab/>
        <w:t>„Message-Driven EJBs“. [Online]. Verfügbar unter: http://docs.oracle.com/cd/E11035_01/wls100/ejb/message_beans.html. [Zugegriffen: 17-Nov-2016].</w:t>
      </w:r>
    </w:p>
    <w:p w:rsidR="00D51C3B" w:rsidRPr="000A5242" w:rsidRDefault="00F93C74" w:rsidP="00565C3F">
      <w:pPr>
        <w:pStyle w:val="ReferenceHead"/>
        <w:jc w:val="left"/>
        <w:rPr>
          <w:lang w:val="de-DE"/>
        </w:rPr>
      </w:pPr>
      <w:r w:rsidRPr="000A5242">
        <w:rPr>
          <w:lang w:val="de-DE"/>
        </w:rPr>
        <w:fldChar w:fldCharType="end"/>
      </w:r>
    </w:p>
    <w:sectPr w:rsidR="00D51C3B" w:rsidRPr="000A5242" w:rsidSect="00F93C74">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0DA" w:rsidRDefault="009370DA">
      <w:r>
        <w:separator/>
      </w:r>
    </w:p>
  </w:endnote>
  <w:endnote w:type="continuationSeparator" w:id="0">
    <w:p w:rsidR="009370DA" w:rsidRDefault="00937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0DA" w:rsidRDefault="009370DA"/>
  </w:footnote>
  <w:footnote w:type="continuationSeparator" w:id="0">
    <w:p w:rsidR="009370DA" w:rsidRDefault="009370DA">
      <w:r>
        <w:continuationSeparator/>
      </w:r>
    </w:p>
  </w:footnote>
  <w:footnote w:id="1">
    <w:p w:rsidR="009755FD" w:rsidRDefault="009755FD">
      <w:pPr>
        <w:pStyle w:val="Funotentext"/>
      </w:pPr>
    </w:p>
  </w:footnote>
  <w:footnote w:id="2">
    <w:p w:rsidR="00EC601F" w:rsidRPr="00EC601F" w:rsidRDefault="00EC601F">
      <w:pPr>
        <w:pStyle w:val="Funotentext"/>
      </w:pPr>
      <w:r w:rsidRPr="00EC601F">
        <w:rPr>
          <w:rStyle w:val="Funotenzeichen"/>
          <w:highlight w:val="yellow"/>
        </w:rPr>
        <w:footnoteRef/>
      </w:r>
      <w:r w:rsidRPr="00EC601F">
        <w:rPr>
          <w:highlight w:val="yellow"/>
        </w:rPr>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pPr>
        <w:pStyle w:val="Funotentext"/>
        <w:rPr>
          <w:lang w:val="de-DE"/>
        </w:rPr>
      </w:pPr>
      <w:r>
        <w:rPr>
          <w:rStyle w:val="Funotenzeichen"/>
        </w:rPr>
        <w:footnoteRef/>
      </w:r>
      <w:r w:rsidRPr="00EC4695">
        <w:rPr>
          <w:lang w:val="de-DE"/>
        </w:rPr>
        <w:t xml:space="preserve"> Das Prinzip „Seperation of concern“ beschreibt … [QUELLE].</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E37277">
        <w:rPr>
          <w:lang w:val="de-DE"/>
        </w:rPr>
        <w:instrText xml:space="preserve"> ADDIN ZOTERO_ITEM CSL_CITATION {"citationID":"hg0k4662t","properties":{"formattedCitation":"[4]","plainCitation":"[4]"},"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E37277">
        <w:rPr>
          <w:lang w:val="de-DE"/>
        </w:rPr>
        <w:instrText xml:space="preserve"> ADDIN ZOTERO_ITEM CSL_CITATION {"citationID":"1shrpgnk4k","properties":{"formattedCitation":"[5]","plainCitation":"[5]"},"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9755FD" w:rsidRPr="00D211A7" w:rsidRDefault="009755F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FD" w:rsidRDefault="009755FD">
    <w:pPr>
      <w:framePr w:wrap="auto" w:vAnchor="text" w:hAnchor="margin" w:xAlign="right" w:y="1"/>
    </w:pPr>
    <w:r>
      <w:fldChar w:fldCharType="begin"/>
    </w:r>
    <w:r>
      <w:instrText xml:space="preserve">PAGE  </w:instrText>
    </w:r>
    <w:r>
      <w:fldChar w:fldCharType="separate"/>
    </w:r>
    <w:r w:rsidR="00805A3E">
      <w:rPr>
        <w:noProof/>
      </w:rPr>
      <w:t>5</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8"/>
  </w:num>
  <w:num w:numId="17">
    <w:abstractNumId w:val="6"/>
  </w:num>
  <w:num w:numId="18">
    <w:abstractNumId w:val="5"/>
  </w:num>
  <w:num w:numId="19">
    <w:abstractNumId w:val="17"/>
  </w:num>
  <w:num w:numId="20">
    <w:abstractNumId w:val="9"/>
  </w:num>
  <w:num w:numId="21">
    <w:abstractNumId w:val="13"/>
  </w:num>
  <w:num w:numId="22">
    <w:abstractNumId w:val="1"/>
  </w:num>
  <w:num w:numId="23">
    <w:abstractNumId w:val="2"/>
  </w:num>
  <w:num w:numId="24">
    <w:abstractNumId w:val="4"/>
  </w:num>
  <w:num w:numId="25">
    <w:abstractNumId w:val="10"/>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6"/>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4DE5"/>
    <w:rsid w:val="001425DC"/>
    <w:rsid w:val="00144120"/>
    <w:rsid w:val="00145C64"/>
    <w:rsid w:val="001501AC"/>
    <w:rsid w:val="00171712"/>
    <w:rsid w:val="00176537"/>
    <w:rsid w:val="00183559"/>
    <w:rsid w:val="001B50E6"/>
    <w:rsid w:val="00245A67"/>
    <w:rsid w:val="002620BB"/>
    <w:rsid w:val="002B1B6C"/>
    <w:rsid w:val="002B2111"/>
    <w:rsid w:val="002D2EDE"/>
    <w:rsid w:val="002D6EDE"/>
    <w:rsid w:val="002F6DA6"/>
    <w:rsid w:val="00310DA8"/>
    <w:rsid w:val="00312283"/>
    <w:rsid w:val="00355199"/>
    <w:rsid w:val="003801C2"/>
    <w:rsid w:val="003B77FA"/>
    <w:rsid w:val="0041201A"/>
    <w:rsid w:val="00423420"/>
    <w:rsid w:val="004271A1"/>
    <w:rsid w:val="004407C2"/>
    <w:rsid w:val="004409FA"/>
    <w:rsid w:val="00476326"/>
    <w:rsid w:val="004C1675"/>
    <w:rsid w:val="004D171C"/>
    <w:rsid w:val="004F0950"/>
    <w:rsid w:val="004F5553"/>
    <w:rsid w:val="00513E45"/>
    <w:rsid w:val="00521111"/>
    <w:rsid w:val="0053622A"/>
    <w:rsid w:val="005376A9"/>
    <w:rsid w:val="00556F1C"/>
    <w:rsid w:val="00565C3F"/>
    <w:rsid w:val="00573D63"/>
    <w:rsid w:val="00574610"/>
    <w:rsid w:val="00597EE5"/>
    <w:rsid w:val="005C1789"/>
    <w:rsid w:val="005C7C66"/>
    <w:rsid w:val="00627F18"/>
    <w:rsid w:val="00640F0B"/>
    <w:rsid w:val="0064330C"/>
    <w:rsid w:val="00665576"/>
    <w:rsid w:val="006940C0"/>
    <w:rsid w:val="006C0FE8"/>
    <w:rsid w:val="006C3494"/>
    <w:rsid w:val="006C4F8A"/>
    <w:rsid w:val="006E07E6"/>
    <w:rsid w:val="006F275F"/>
    <w:rsid w:val="00716D5D"/>
    <w:rsid w:val="00731078"/>
    <w:rsid w:val="0074640D"/>
    <w:rsid w:val="0075563B"/>
    <w:rsid w:val="00760126"/>
    <w:rsid w:val="007731CE"/>
    <w:rsid w:val="007A6C97"/>
    <w:rsid w:val="0080571B"/>
    <w:rsid w:val="00805A3E"/>
    <w:rsid w:val="00826C5A"/>
    <w:rsid w:val="0085194D"/>
    <w:rsid w:val="00870053"/>
    <w:rsid w:val="008A0017"/>
    <w:rsid w:val="008A7497"/>
    <w:rsid w:val="008B1CEB"/>
    <w:rsid w:val="008C630A"/>
    <w:rsid w:val="008C66BA"/>
    <w:rsid w:val="00924ED0"/>
    <w:rsid w:val="00933495"/>
    <w:rsid w:val="009370DA"/>
    <w:rsid w:val="0094599C"/>
    <w:rsid w:val="00953ECF"/>
    <w:rsid w:val="009651CB"/>
    <w:rsid w:val="009755FD"/>
    <w:rsid w:val="00984C74"/>
    <w:rsid w:val="00996D37"/>
    <w:rsid w:val="009B17B7"/>
    <w:rsid w:val="009C5D72"/>
    <w:rsid w:val="009E4531"/>
    <w:rsid w:val="009E60E9"/>
    <w:rsid w:val="009F423C"/>
    <w:rsid w:val="00A00EF4"/>
    <w:rsid w:val="00A04005"/>
    <w:rsid w:val="00A25CFC"/>
    <w:rsid w:val="00A2652C"/>
    <w:rsid w:val="00A6022C"/>
    <w:rsid w:val="00A640EA"/>
    <w:rsid w:val="00A6598C"/>
    <w:rsid w:val="00A66306"/>
    <w:rsid w:val="00AB0BFD"/>
    <w:rsid w:val="00AC6901"/>
    <w:rsid w:val="00B64FA2"/>
    <w:rsid w:val="00B7304C"/>
    <w:rsid w:val="00B81650"/>
    <w:rsid w:val="00BB635C"/>
    <w:rsid w:val="00BF476B"/>
    <w:rsid w:val="00C03968"/>
    <w:rsid w:val="00C0494A"/>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365D2"/>
    <w:rsid w:val="00D51C3B"/>
    <w:rsid w:val="00D6191E"/>
    <w:rsid w:val="00D6468F"/>
    <w:rsid w:val="00D772EE"/>
    <w:rsid w:val="00DB210B"/>
    <w:rsid w:val="00DD43B3"/>
    <w:rsid w:val="00E02D0B"/>
    <w:rsid w:val="00E0720E"/>
    <w:rsid w:val="00E13CC5"/>
    <w:rsid w:val="00E15F60"/>
    <w:rsid w:val="00E20C7D"/>
    <w:rsid w:val="00E24722"/>
    <w:rsid w:val="00E37277"/>
    <w:rsid w:val="00E45FD3"/>
    <w:rsid w:val="00E4752B"/>
    <w:rsid w:val="00E47948"/>
    <w:rsid w:val="00E60806"/>
    <w:rsid w:val="00EA04EB"/>
    <w:rsid w:val="00EC2D65"/>
    <w:rsid w:val="00EC4695"/>
    <w:rsid w:val="00EC601F"/>
    <w:rsid w:val="00EE1CEB"/>
    <w:rsid w:val="00EF1337"/>
    <w:rsid w:val="00F62D48"/>
    <w:rsid w:val="00F643C3"/>
    <w:rsid w:val="00F67334"/>
    <w:rsid w:val="00F84C5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Hyp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Hyp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ieee.org/organizations/pubs/ani_prod/keywrd98.txt"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F0B4-1C5A-4535-BF4D-60FB62E7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3203</Words>
  <Characters>20179</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23336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Spelsberg.Maximilian extern S-IP-AN-KP</cp:lastModifiedBy>
  <cp:revision>36</cp:revision>
  <cp:lastPrinted>2004-03-23T09:00:00Z</cp:lastPrinted>
  <dcterms:created xsi:type="dcterms:W3CDTF">2016-12-05T19:42:00Z</dcterms:created>
  <dcterms:modified xsi:type="dcterms:W3CDTF">2016-12-13T15:06:00Z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7" name="ZOTERO_PREF_1">
    <vt:lpwstr>&lt;data data-version="3" zotero-version="4.0.29.10"&gt;&lt;session id="T2qQOlYe"/&gt;&lt;style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