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fondo" descr="Fondo de portada con curvas institucionales" title="Fon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val="right" w:pos="9866"/>
        </w:tabs>
      </w:pPr>
      <w:r>
        <w:drawing>
          <wp:inline distT="0" distB="0" distL="0" distR="0">
            <wp:extent cx="2333625" cy="457200"/>
            <wp:effectExtent t="0" r="0" b="0" l="0"/>
            <wp:docPr id="1" name="mef" descr="Logotipo del Ministerio de Economía y Finanzas" title="M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	</w:t>
      </w:r>
      <w:r>
        <w:drawing>
          <wp:inline distT="0" distB="0" distL="0" distR="0">
            <wp:extent cx="1524000" cy="485775"/>
            <wp:effectExtent t="0" r="0" b="0" l="0"/>
            <wp:docPr id="1" name="siaf" descr="Logotipo SIAF-RP" title="SIAF-R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600"/>
      </w:pPr>
      <w:r>
        <w:rPr>
          <w:rFonts w:ascii="Montserrat" w:cs="Montserrat" w:eastAsia="Montserrat" w:hAnsi="Montserrat"/>
          <w:b/>
          <w:bCs/>
          <w:color w:val="E6375D"/>
          <w:spacing w:val="40"/>
          <w:sz w:val="22"/>
          <w:szCs w:val="22"/>
        </w:rPr>
        <w:t xml:space="preserve">RESUMEN EJECUTIVO</w:t>
      </w:r>
    </w:p>
    <w:p>
      <w:pPr>
        <w:spacing w:after="120" w:before="160"/>
      </w:pPr>
      <w:r>
        <w:rPr>
          <w:rFonts w:ascii="Montserrat SemiBold" w:cs="Montserrat SemiBold" w:eastAsia="Montserrat SemiBold" w:hAnsi="Montserrat SemiBold"/>
          <w:b/>
          <w:bCs/>
          <w:color w:val="004899"/>
          <w:sz w:val="60"/>
          <w:szCs w:val="60"/>
        </w:rPr>
        <w:t xml:space="preserve">Integración funcional y temporal del Cronograma AFSP</w:t>
      </w:r>
    </w:p>
    <w:p>
      <w:pPr>
        <w:pBdr>
          <w:bottom w:val="single" w:color="D0D5DD" w:sz="6" w:space="10"/>
        </w:pBdr>
        <w:spacing w:after="360" w:before="120"/>
      </w:pPr>
      <w:r>
        <w:rPr>
          <w:rFonts w:ascii="Montserrat" w:cs="Montserrat" w:eastAsia="Montserrat" w:hAnsi="Montserrat"/>
          <w:b/>
          <w:bCs/>
          <w:color w:val="E6375D"/>
          <w:sz w:val="26"/>
          <w:szCs w:val="26"/>
        </w:rPr>
        <w:t xml:space="preserve">Análisis de fechas, dependencias y alertas de los siete sistemas</w:t>
      </w:r>
    </w:p>
    <w:p>
      <w:pPr>
        <w:spacing w:after="80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Dirigido a: 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Coordinación del Proyecto y Unidad de Coordinación del Proyecto (UCP)</w:t>
      </w:r>
    </w:p>
    <w:p>
      <w:pPr>
        <w:spacing w:after="80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Fuente: 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Cronograma AFSP – Integrado.mpp, guardado el 21/10/2026</w:t>
      </w:r>
    </w:p>
    <w:p>
      <w:pPr>
        <w:spacing w:after="80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Fecha: 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22 de octubre de 2026</w:t>
      </w:r>
    </w:p>
    <w:p>
      <w:pPr>
        <w:sectPr>
          <w:pgSz w:w="11906" w:h="16838" w:orient="portrait"/>
          <w:pgMar w:top="900" w:right="1020" w:bottom="900" w:left="1020" w:header="708" w:footer="708" w:gutter="0"/>
          <w:pgNumType/>
          <w:docGrid w:linePitch="360"/>
        </w:sectPr>
      </w:pPr>
    </w:p>
    <w:p>
      <w:pPr>
        <w:pStyle w:val="Heading1"/>
        <w:keepNext/>
        <w:spacing w:after="200" w:before="120"/>
      </w:pPr>
      <w:r>
        <w:rPr>
          <w:rFonts w:ascii="Montserrat SemiBold" w:cs="Montserrat SemiBold" w:eastAsia="Montserrat SemiBold" w:hAnsi="Montserrat SemiBold"/>
          <w:b/>
          <w:bCs/>
          <w:color w:val="E6375D"/>
          <w:sz w:val="34"/>
          <w:szCs w:val="34"/>
        </w:rPr>
        <w:t xml:space="preserve">1  </w:t>
      </w:r>
      <w:r>
        <w:rPr>
          <w:rFonts w:ascii="Montserrat SemiBold" w:cs="Montserrat SemiBold" w:eastAsia="Montserrat SemiBold" w:hAnsi="Montserrat SemiBold"/>
          <w:b/>
          <w:bCs/>
          <w:color w:val="004899"/>
          <w:sz w:val="34"/>
          <w:szCs w:val="34"/>
        </w:rPr>
        <w:t xml:space="preserve">Resumen ejecutivo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46"/>
        <w:gridCol w:w="160"/>
        <w:gridCol w:w="2346"/>
        <w:gridCol w:w="160"/>
        <w:gridCol w:w="2346"/>
        <w:gridCol w:w="160"/>
        <w:gridCol w:w="2346"/>
      </w:tblGrid>
      <w:tr>
        <w:tc>
          <w:tcPr>
            <w:tcW w:type="dxa" w:w="2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BB4AA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ontserrat SemiBold" w:cs="Montserrat SemiBold" w:eastAsia="Montserrat SemiBold" w:hAnsi="Montserrat SemiBold"/>
                <w:b/>
                <w:bCs/>
                <w:color w:val="FFFFFF"/>
                <w:sz w:val="40"/>
                <w:szCs w:val="40"/>
              </w:rPr>
              <w:t xml:space="preserve">92 %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Clasificadores y Catálogos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9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ontserrat SemiBold" w:cs="Montserrat SemiBold" w:eastAsia="Montserrat SemiBold" w:hAnsi="Montserrat SemiBold"/>
                <w:b/>
                <w:bCs/>
                <w:color w:val="FFFFFF"/>
                <w:sz w:val="40"/>
                <w:szCs w:val="40"/>
              </w:rPr>
              <w:t xml:space="preserve">44 %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Programación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899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ontserrat SemiBold" w:cs="Montserrat SemiBold" w:eastAsia="Montserrat SemiBold" w:hAnsi="Montserrat SemiBold"/>
                <w:b/>
                <w:bCs/>
                <w:color w:val="FFFFFF"/>
                <w:sz w:val="40"/>
                <w:szCs w:val="40"/>
              </w:rPr>
              <w:t xml:space="preserve">12 %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Gestión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75D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ontserrat SemiBold" w:cs="Montserrat SemiBold" w:eastAsia="Montserrat SemiBold" w:hAnsi="Montserrat SemiBold"/>
                <w:b/>
                <w:bCs/>
                <w:color w:val="FFFFFF"/>
                <w:sz w:val="40"/>
                <w:szCs w:val="40"/>
              </w:rPr>
              <w:t xml:space="preserve">12 %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Evaluación</w:t>
            </w:r>
          </w:p>
        </w:tc>
      </w:tr>
    </w:tbl>
    <w:p>
      <w:pPr>
        <w:spacing w:after="16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899" w:color="auto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/>
            </w:pPr>
            <w:r>
              <w:rPr>
                <w:rFonts w:ascii="Montserrat" w:cs="Montserrat" w:eastAsia="Montserrat" w:hAnsi="Montserrat"/>
                <w:b/>
                <w:bCs/>
                <w:color w:val="94D4ED"/>
                <w:sz w:val="16"/>
                <w:szCs w:val="16"/>
              </w:rPr>
              <w:t xml:space="preserve">VEREDICTO</w:t>
            </w:r>
          </w:p>
          <w:p>
            <w:pPr>
              <w:spacing w:line="300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El cronograma integrado, en su versión actual, no permite garantizar la integración funcional y temporal de los siete sistemas.</w:t>
            </w:r>
            <w:r>
              <w:rPr>
                <w:rFonts w:ascii="Montserrat" w:cs="Montserrat" w:eastAsia="Montserrat" w:hAnsi="Montserrat"/>
                <w:color w:val="FFFFFF"/>
                <w:sz w:val="22"/>
                <w:szCs w:val="22"/>
              </w:rPr>
              <w:t xml:space="preserve"> Cada sistema tiene fechas razonables por separado. Sin embargo, no existe ningún vínculo de precedencia entre sus 307 actividades, y el análisis funcional detecta tres inversiones de secuencia que comprometen la operación integrada.</w:t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Cifras clave (archivo .mpp guardado el 21/10/2026):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Horizonte: 11/09/2023 – 28/12/2029. El fin del proyecto lo fija Endeudamiento (segunda etapa).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Avance ponderado por duración: Clasificadores y Catálogos 92 %, Programación 44 %, Gestión 12 %, Evaluación 12 %.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0 dependencias registradas, 304 de 307 tareas programadas manualmente, sin línea base, sin fecha de estado y sin hitos.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6 tareas vencidas al 99 % y 8 tareas que debieron iniciar y siguen en 0 %.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33 actividades marcadas como "No figura en PMO".</w:t>
      </w: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Alertas principales (detalle en el Cuadro 4):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Crítica – Tesorería.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La Gestión de pagos se diseña desde el 20/04/2027, pero la Asignación de pago (cuota de pago) recién estará el 31/05/2028: </w:t>
      </w: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407 días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de brecha.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Crítica – Abastecimiento → Presupuesto.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La Ejecución de gastos de bienes, servicios y obras termina el 31/07/2027, antes de que existan la orden de compra/servicio (01/10/2027) y la Conformidad (07/01/2028).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Alta – Contabilidad.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El Cierre presupuestario, los Estados presupuestales y los Estados financieros se diseñan entre octubre de 2026 y junio de 2027, antes que la Ejecución presupuestaria (hasta 22/11/2027).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Alta – Presupuesto.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El Administrador de Metas, dos clasificadores temáticos y cinco catálogos versión 2 terminan entre 6 y 71 días después del fin de la Formulación (19/01/2027).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Alta – Contabilidad.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La última actualización del Catálogo de Eventos y Motor de Contabilización termina el 22/09/2028, pero siguen diseñándose procesos que generan asientos hasta el 28/12/2029.</w:t>
      </w: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Lo que la UCP debe decidir ahora: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Ordenar que se registren en el .mpp las dependencias del Cuadro 3, se guarde una línea base y se defina una fecha de estado.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Validar con los CAF las propuestas del Cuadro 5. La de mayor impacto es adelantar la cuota de pago de Tesorería 422 días o definir una versión mínima anterior a abril de 2027.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Confirmar si los procesos de Evaluación contable de 2026–2027 se alimentarán del SIAF-SP actual (integración ya concluida) o del nuevo módulo de Ejecución.</w:t>
      </w:r>
    </w:p>
    <w:p>
      <w:pPr>
        <w:pageBreakBefore/>
      </w:pPr>
    </w:p>
    <w:p>
      <w:pPr>
        <w:pStyle w:val="Heading1"/>
        <w:keepNext/>
        <w:spacing w:after="200" w:before="120"/>
      </w:pPr>
      <w:r>
        <w:rPr>
          <w:rFonts w:ascii="Montserrat SemiBold" w:cs="Montserrat SemiBold" w:eastAsia="Montserrat SemiBold" w:hAnsi="Montserrat SemiBold"/>
          <w:b/>
          <w:bCs/>
          <w:color w:val="E6375D"/>
          <w:sz w:val="34"/>
          <w:szCs w:val="34"/>
        </w:rPr>
        <w:t xml:space="preserve">2  </w:t>
      </w:r>
      <w:r>
        <w:rPr>
          <w:rFonts w:ascii="Montserrat SemiBold" w:cs="Montserrat SemiBold" w:eastAsia="Montserrat SemiBold" w:hAnsi="Montserrat SemiBold"/>
          <w:b/>
          <w:bCs/>
          <w:color w:val="004899"/>
          <w:sz w:val="34"/>
          <w:szCs w:val="34"/>
        </w:rPr>
        <w:t xml:space="preserve">Fuente, alcance y limitaciones</w:t>
      </w:r>
    </w:p>
    <w:p>
      <w:pPr>
        <w:spacing w:after="140" w:line="288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Se analizó el archivo editable </w:t>
      </w: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"Cronograma AFSP - Integrado.mpp"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(Microsoft Project, revisión 38, autor Carlos Munares, guardado el 21/10/2026). El encargo mencionaba el PDF "Integrado6", pero se usó el .mpp porque permite verificar precedencias, restricciones y modos de programación. Se revisaron las 374 filas.</w:t>
      </w: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Criterios aplicados: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Se usaron solo las 307 actividades operativas (sin tareas resumen) para calcular fechas, para no confundir la fecha de una tarea resumen con la disponibilidad de un entregable.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Se excluyeron las filas 141 y 142, que duplican a la 144 y la 145. También se excluyó la fila 133 ("C3 – Construcción de software"), que es un marcador vacío de 1 día.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El sistema de cada actividad se tomó de la columna personalizada "Sistema" y el estado, de la columna "Estado UCP". Las fechas de corte para atrasos son las del 21/10/2026.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Las brechas se expresan en días calendario.</w:t>
      </w: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Limitaciones que condicionan las conclusiones: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No hay dependencias documentadas.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Ninguna de las 374 filas tiene predecesoras. Por eso, todas las dependencias del Cuadro 3 son </w:t>
      </w: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dependencias funcionales propuestas que requieren validación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de los CAF y de la Coordinación.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Programación manual.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304 de 307 actividades están en modo manual. Las fechas no se recalculan si una predecesora se mueve.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Sin línea base ni fecha de estado.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No se puede medir la variación entre lo planificado y lo real.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El cronograma mide el diseño funcional (MFD, componente C1).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La construcción del software (C3) no está programada. Por tanto, "fecha disponible" significa aquí la fecha prevista del MFD, no la puesta en producción (criterio confirmado el 22/10/2026).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Restricciones: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solo tres tareas tienen restricción. Las filas 165 y 170 tienen "No finalizar antes del 29/01/2027" y la fila 169, "No comenzar antes del 15/12/2026".</w:t>
      </w:r>
    </w:p>
    <w:p>
      <w:pPr>
        <w:pageBreakBefore/>
      </w:pPr>
    </w:p>
    <w:p>
      <w:pPr>
        <w:pStyle w:val="Heading1"/>
        <w:keepNext/>
        <w:spacing w:after="200" w:before="120"/>
      </w:pPr>
      <w:r>
        <w:rPr>
          <w:rFonts w:ascii="Montserrat SemiBold" w:cs="Montserrat SemiBold" w:eastAsia="Montserrat SemiBold" w:hAnsi="Montserrat SemiBold"/>
          <w:b/>
          <w:bCs/>
          <w:color w:val="E6375D"/>
          <w:sz w:val="34"/>
          <w:szCs w:val="34"/>
        </w:rPr>
        <w:t xml:space="preserve">3  </w:t>
      </w:r>
      <w:r>
        <w:rPr>
          <w:rFonts w:ascii="Montserrat SemiBold" w:cs="Montserrat SemiBold" w:eastAsia="Montserrat SemiBold" w:hAnsi="Montserrat SemiBold"/>
          <w:b/>
          <w:bCs/>
          <w:color w:val="004899"/>
          <w:sz w:val="34"/>
          <w:szCs w:val="34"/>
        </w:rPr>
        <w:t xml:space="preserve">Estructura del cronograma y sistemas</w:t>
      </w:r>
    </w:p>
    <w:p>
      <w:pPr>
        <w:spacing w:after="140" w:line="288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Los siete sistemas aparecen con estas denominaciones en la columna "Sistema": Presupuesto, Inversiones, Abastecimiento, GFRH, Tesorería, Endeudamiento y Contabilidad. El cronograma se organiza en seis niveles: Proyecto AFSP (1) → bloque o macroproceso (1.1–1.5) → módulo → proceso → subproceso → procedimiento. Los niveles 5 y 6 solo existen en Endeudamiento. Además, hay un bloque de Aplicativos de uso común (9 actividades, sin sistema asignado), concluido al 100 % el 20/04/2026.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350"/>
        <w:gridCol w:w="2350"/>
        <w:gridCol w:w="1750"/>
        <w:gridCol w:w="1916"/>
      </w:tblGrid>
      <w:tr>
        <w:trPr>
          <w:tblHeader/>
        </w:trPr>
        <w:tc>
          <w:tcPr>
            <w:tcW w:type="dxa" w:w="15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Sistema</w:t>
            </w:r>
          </w:p>
        </w:tc>
        <w:tc>
          <w:tcPr>
            <w:tcW w:type="dxa" w:w="235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Programación (módulos)</w:t>
            </w:r>
          </w:p>
        </w:tc>
        <w:tc>
          <w:tcPr>
            <w:tcW w:type="dxa" w:w="235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Gestión (módulos)</w:t>
            </w:r>
          </w:p>
        </w:tc>
        <w:tc>
          <w:tcPr>
            <w:tcW w:type="dxa" w:w="175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Evaluación (módulos)</w:t>
            </w:r>
          </w:p>
        </w:tc>
        <w:tc>
          <w:tcPr>
            <w:tcW w:type="dxa" w:w="1916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Clasificadores y Catálogos (actividades)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Presupuesto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Programación multianual presupuestaria; Formulación y aprobación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Apertura del ejercicio; Programación de la ejecución; Modificaciones; Ejecución presupuestaria</w:t>
            </w:r>
          </w:p>
        </w:tc>
        <w:tc>
          <w:tcPr>
            <w:tcW w:type="dxa" w:w="17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Evaluación presupuestaria</w:t>
            </w:r>
          </w:p>
        </w:tc>
        <w:tc>
          <w:tcPr>
            <w:tcW w:type="dxa" w:w="191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55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Inversiones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Programación de inversiones SNPMGI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Gestión administrativa de inversiones</w:t>
            </w:r>
          </w:p>
        </w:tc>
        <w:tc>
          <w:tcPr>
            <w:tcW w:type="dxa" w:w="17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Gestión administrativa de inversiones (seguimiento, ex post, sostenibilidad)</w:t>
            </w:r>
          </w:p>
        </w:tc>
        <w:tc>
          <w:tcPr>
            <w:tcW w:type="dxa" w:w="191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Abastecimiento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Programación multianual de bienes, servicios y obras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Adquisiciones y otras formas de obtención; Almacén; Bienes, propiedad, planta y equipo</w:t>
            </w:r>
          </w:p>
        </w:tc>
        <w:tc>
          <w:tcPr>
            <w:tcW w:type="dxa" w:w="17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—</w:t>
            </w:r>
          </w:p>
        </w:tc>
        <w:tc>
          <w:tcPr>
            <w:tcW w:type="dxa" w:w="191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GFRH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Programación y formulación del presupuesto de ingresos del personal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Gestión de ingresos del personal; Planillas del sector público</w:t>
            </w:r>
          </w:p>
        </w:tc>
        <w:tc>
          <w:tcPr>
            <w:tcW w:type="dxa" w:w="17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—</w:t>
            </w:r>
          </w:p>
        </w:tc>
        <w:tc>
          <w:tcPr>
            <w:tcW w:type="dxa" w:w="191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Tesorería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Planeación financiera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Gestión de ingresos; Gestión de pagos; Gestión de liquidez</w:t>
            </w:r>
          </w:p>
        </w:tc>
        <w:tc>
          <w:tcPr>
            <w:tcW w:type="dxa" w:w="17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—</w:t>
            </w:r>
          </w:p>
        </w:tc>
        <w:tc>
          <w:tcPr>
            <w:tcW w:type="dxa" w:w="191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Endeudamiento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Programación de desembolsos y pago de obligaciones de deuda (PMEyPO)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Endeudamiento primera etapa (6 módulos); segunda etapa (7 módulos)</w:t>
            </w:r>
          </w:p>
        </w:tc>
        <w:tc>
          <w:tcPr>
            <w:tcW w:type="dxa" w:w="17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—</w:t>
            </w:r>
          </w:p>
        </w:tc>
        <w:tc>
          <w:tcPr>
            <w:tcW w:type="dxa" w:w="191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Contabilidad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—</w:t>
            </w:r>
          </w:p>
        </w:tc>
        <w:tc>
          <w:tcPr>
            <w:tcW w:type="dxa" w:w="2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Servicios de contabilización</w:t>
            </w:r>
          </w:p>
        </w:tc>
        <w:tc>
          <w:tcPr>
            <w:tcW w:type="dxa" w:w="17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Servicios de contabilización (cierres, estados, consolidación, Cuenta General)</w:t>
            </w:r>
          </w:p>
        </w:tc>
        <w:tc>
          <w:tcPr>
            <w:tcW w:type="dxa" w:w="191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12</w:t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Observaciones de estructura: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Cuatro sistemas (Abastecimiento, GFRH, Tesorería y Endeudamiento) no tienen procesos en el Macroproceso de Evaluación. Endeudamiento ubica sus "Estadísticas de deuda" en Gestión. Contabilidad no tiene procesos de Programación, lo cual es coherente con su naturaleza.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Hay registros duplicados o con titular doble. "Formulación" y "Aprobación" aparecen en dos módulos (filas 141–142 y 144–145, con avance distinto: 0 % y 5 %). El "Catálogo de procesos de contratación" figura dos veces (filas 69 y 75). "Organismos financiadores" (Tesorería, fila 126) y "Clasificador de Acreedores" (Endeudamiento, fila 85) se refieren mutuamente con la palabra "antes".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La columna "Estado UCP" no es consistente con el avance. 51 catálogos al 100 % dicen "MFD por crear en Administrador de Catálogo". Las filas 138, 144 y 168 dicen "Sin iniciar" con avance entre 5 % y 47 %. La fila 47 está al 100 % con fin el 28/12/2026 y estado "MFD en elaboración". La fila 81 se llama "&lt;Tarea nueva&gt;".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Algunas tareas resumen distorsionan la lectura. El "Módulo de Gestión de almacén" abarca del 01/10/2025 al 11/12/2029 porque incluye el Inventario masivo ya concluido (2025–2026). Su trabajo pendiente se concentra en 2029.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300" w:right="1020" w:bottom="1100" w:left="1020" w:header="500" w:footer="500" w:gutter="0"/>
          <w:pgNumType/>
          <w:docGrid w:linePitch="360"/>
        </w:sectPr>
      </w:pPr>
    </w:p>
    <w:p>
      <w:pPr>
        <w:pStyle w:val="Heading1"/>
        <w:keepNext/>
        <w:spacing w:after="200" w:before="120"/>
      </w:pPr>
      <w:r>
        <w:rPr>
          <w:rFonts w:ascii="Montserrat SemiBold" w:cs="Montserrat SemiBold" w:eastAsia="Montserrat SemiBold" w:hAnsi="Montserrat SemiBold"/>
          <w:b/>
          <w:bCs/>
          <w:color w:val="E6375D"/>
          <w:sz w:val="34"/>
          <w:szCs w:val="34"/>
        </w:rPr>
        <w:t xml:space="preserve">4  </w:t>
      </w:r>
      <w:r>
        <w:rPr>
          <w:rFonts w:ascii="Montserrat SemiBold" w:cs="Montserrat SemiBold" w:eastAsia="Montserrat SemiBold" w:hAnsi="Montserrat SemiBold"/>
          <w:b/>
          <w:bCs/>
          <w:color w:val="004899"/>
          <w:sz w:val="34"/>
          <w:szCs w:val="34"/>
        </w:rPr>
        <w:t xml:space="preserve">Análisis de fechas</w:t>
      </w:r>
    </w:p>
    <w:p>
      <w:pPr>
        <w:spacing w:after="140" w:line="288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Clasificadores y Catálogos está casi concluido (92 %), pero Gestión y Evaluación apenas empiezan (12 %). La integración se decidirá entre 2027 y 2028. Las fechas salen de las actividades operativas; el porcentaje es el avance ponderado por duración.</w:t>
      </w:r>
    </w:p>
    <w:p>
      <w:pPr>
        <w:keepNext/>
        <w:spacing w:after="100" w:before="200"/>
      </w:pPr>
      <w:r>
        <w:rPr>
          <w:rFonts w:ascii="Montserrat" w:cs="Montserrat" w:eastAsia="Montserrat" w:hAnsi="Montserrat"/>
          <w:b/>
          <w:bCs/>
          <w:color w:val="E6375D"/>
          <w:sz w:val="19"/>
          <w:szCs w:val="19"/>
        </w:rPr>
        <w:t xml:space="preserve">Cuadro 1. Matriz consolidada de fechas por sistema y macroproceso</w:t>
      </w:r>
    </w:p>
    <w:tbl>
      <w:tblPr>
        <w:tblW w:type="dxa" w:w="147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300"/>
        <w:gridCol w:w="2300"/>
        <w:gridCol w:w="2300"/>
        <w:gridCol w:w="2300"/>
        <w:gridCol w:w="4098"/>
      </w:tblGrid>
      <w:tr>
        <w:trPr>
          <w:tblHeader/>
        </w:trPr>
        <w:tc>
          <w:tcPr>
            <w:tcW w:type="dxa" w:w="15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Sistema</w:t>
            </w:r>
          </w:p>
        </w:tc>
        <w:tc>
          <w:tcPr>
            <w:tcW w:type="dxa" w:w="23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Programación: inicio / fin (avance)</w:t>
            </w:r>
          </w:p>
        </w:tc>
        <w:tc>
          <w:tcPr>
            <w:tcW w:type="dxa" w:w="23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Gestión: inicio / fin (avance)</w:t>
            </w:r>
          </w:p>
        </w:tc>
        <w:tc>
          <w:tcPr>
            <w:tcW w:type="dxa" w:w="23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Evaluación: inicio / fin (avance)</w:t>
            </w:r>
          </w:p>
        </w:tc>
        <w:tc>
          <w:tcPr>
            <w:tcW w:type="dxa" w:w="23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Clasificadores y Catálogos: inicio / fin (avance)</w:t>
            </w:r>
          </w:p>
        </w:tc>
        <w:tc>
          <w:tcPr>
            <w:tcW w:type="dxa" w:w="4098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Estado de integración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Presupuesto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07/09/2026 / 15/06/2027 (12 %)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22/03/2027 / 22/11/2027 (0 %)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04/10/2027 / 24/03/2028 (0 %)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13/10/2023 / 31/03/2027 (89 %)</w:t>
            </w:r>
          </w:p>
        </w:tc>
        <w:tc>
          <w:tcPr>
            <w:tcW w:type="dxa" w:w="4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Con brechas: metas y clasificadores terminan después de la Formulación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Inversiones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22/12/2025 / 30/06/2027 (47 %)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04/01/2027 / 30/08/2027 (0 %)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01/08/2027 / 29/01/2028 (0 %)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14/08/2026 / 22/01/2027 (22 %)</w:t>
            </w:r>
          </w:p>
        </w:tc>
        <w:tc>
          <w:tcPr>
            <w:tcW w:type="dxa" w:w="4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En riesgo: PMI en StandBy y formulación de proyectos después de la Formulación presupuestaria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Abastecimiento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14/09/2026 / 13/05/2027 (44 %)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01/10/2025 / 11/12/2029 (13 %)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Sin procesos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16/10/2023 / 16/06/2026 (100 %)</w:t>
            </w:r>
          </w:p>
        </w:tc>
        <w:tc>
          <w:tcPr>
            <w:tcW w:type="dxa" w:w="4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Desalineado: OC/OS y Conformidad después de la Ejecución de gastos de bienes y servicios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GFRH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15/09/2025 / 11/06/2026 (100 %)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27/10/2025 / 30/09/2026 (100 %)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Sin procesos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24/11/2025 / 28/12/2026 (70 %)</w:t>
            </w:r>
          </w:p>
        </w:tc>
        <w:tc>
          <w:tcPr>
            <w:tcW w:type="dxa" w:w="4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Adelantado: su integración con Ejecución y Pagos no se podrá probar hasta 2027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Tesorería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16/03/2026 / 31/05/2028 (43 %)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24/07/2026 / 31/05/2028 (9 %)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Sin procesos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18/09/2023 / 31/08/2026 (100 %)</w:t>
            </w:r>
          </w:p>
        </w:tc>
        <w:tc>
          <w:tcPr>
            <w:tcW w:type="dxa" w:w="4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Crítico: cuota de pago programada después de la Gestión de pagos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Endeudamiento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01/07/2026 / 29/01/2027 (57 %)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01/12/2026 / 28/12/2029 (0 %)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Sin procesos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18/09/2023 / 31/12/2026 (97 %)</w:t>
            </w:r>
          </w:p>
        </w:tc>
        <w:tc>
          <w:tcPr>
            <w:tcW w:type="dxa" w:w="4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Brecha menor con la Formulación (10 días); fija el fin del proyecto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Contabilidad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Sin procesos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29/10/2025 / 22/09/2028 (72 %)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13/03/2026 / 16/09/2028 (18 %)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11/09/2023 / 21/10/2027 (94 %)</w:t>
            </w:r>
          </w:p>
        </w:tc>
        <w:tc>
          <w:tcPr>
            <w:tcW w:type="dxa" w:w="4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Secuencia invertida: Evaluación antes que la Gestión de otros sistemas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Montserrat" w:cs="Montserrat" w:eastAsia="Montserrat" w:hAnsi="Montserrat"/>
          <w:b/>
          <w:bCs/>
          <w:color w:val="E6375D"/>
          <w:sz w:val="19"/>
          <w:szCs w:val="19"/>
        </w:rPr>
        <w:t xml:space="preserve">Cuadro 2. Fechas extremas por macroproceso</w:t>
      </w:r>
    </w:p>
    <w:tbl>
      <w:tblPr>
        <w:tblW w:type="dxa" w:w="147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500"/>
        <w:gridCol w:w="1500"/>
        <w:gridCol w:w="2600"/>
        <w:gridCol w:w="7098"/>
      </w:tblGrid>
      <w:tr>
        <w:trPr>
          <w:tblHeader/>
        </w:trPr>
        <w:tc>
          <w:tcPr>
            <w:tcW w:type="dxa" w:w="21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Macroproceso</w:t>
            </w:r>
          </w:p>
        </w:tc>
        <w:tc>
          <w:tcPr>
            <w:tcW w:type="dxa" w:w="15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Inicio más temprano</w:t>
            </w:r>
          </w:p>
        </w:tc>
        <w:tc>
          <w:tcPr>
            <w:tcW w:type="dxa" w:w="15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Fin más tardío</w:t>
            </w:r>
          </w:p>
        </w:tc>
        <w:tc>
          <w:tcPr>
            <w:tcW w:type="dxa" w:w="26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Sistemas involucrados</w:t>
            </w:r>
          </w:p>
        </w:tc>
        <w:tc>
          <w:tcPr>
            <w:tcW w:type="dxa" w:w="7098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Clasificadores y Catálogos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11/09/2023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21/10/2027</w:t>
            </w:r>
          </w:p>
        </w:tc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Los siete</w:t>
            </w:r>
          </w:p>
        </w:tc>
        <w:tc>
          <w:tcPr>
            <w:tcW w:type="dxa" w:w="7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117 actividades, 92 %. Lo pendiente es sobre todo de Presupuesto (Formulación 2027) y los catálogos de consolidación contable.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Programación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15/09/2025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31/05/2028</w:t>
            </w:r>
          </w:p>
        </w:tc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Seis (todos menos Contabilidad)</w:t>
            </w:r>
          </w:p>
        </w:tc>
        <w:tc>
          <w:tcPr>
            <w:tcW w:type="dxa" w:w="7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26 actividades, 44 %. El fin lo fija la cuota de pago de Tesorería. Sin ella, Programación terminaría el 30/06/2027.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Gestión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01/10/2025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28/12/2029</w:t>
            </w:r>
          </w:p>
        </w:tc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Los siete</w:t>
            </w:r>
          </w:p>
        </w:tc>
        <w:tc>
          <w:tcPr>
            <w:tcW w:type="dxa" w:w="7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133 actividades, 12 %. Endeudamiento aporta 59 de ellas (44 %) y define el fin con el "Registro manual de cronograma de servicio" (fila 296).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6"/>
                <w:szCs w:val="16"/>
              </w:rPr>
              <w:t xml:space="preserve">Evaluación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13/03/2026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16/09/2028</w:t>
            </w:r>
          </w:p>
        </w:tc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Contabilidad, Inversiones y Presupuesto</w:t>
            </w:r>
          </w:p>
        </w:tc>
        <w:tc>
          <w:tcPr>
            <w:tcW w:type="dxa" w:w="7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6"/>
                <w:szCs w:val="16"/>
              </w:rPr>
              <w:t xml:space="preserve">22 actividades, 12 %. Termina 468 días antes que Gestión. Lo que Endeudamiento y Abastecimiento diseñen en 2029 no tiene evaluación prevista.</w:t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Implicancias: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Programación y Gestión se solapan en todos los sistemas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, con excepción de GFRH. Eso es viable si la integración es progresiva, pero solo funciona si se documenta qué entregable parcial habilita a cada proceso receptor.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El ciclo presupuestario 2027 es el punto de convergencia.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Formulación (14/10/2026–19/01/2027) y Aprobación (16/11/2026–05/02/2027) dependen de insumos de Presupuesto, Inversiones, Tesorería y Endeudamiento que terminan después.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El tramo 2028–2029 queda fuera del ciclo de integración.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Endeudamiento (segunda etapa) y Abastecimiento (almacén y regímenes especiales) se diseñan después de la última actualización del motor contable y del fin de Evaluación.</w:t>
      </w:r>
    </w:p>
    <w:p>
      <w:pPr>
        <w:pageBreakBefore/>
      </w:pPr>
    </w:p>
    <w:p>
      <w:pPr>
        <w:pStyle w:val="Heading1"/>
        <w:keepNext/>
        <w:spacing w:after="200" w:before="120"/>
      </w:pPr>
      <w:r>
        <w:rPr>
          <w:rFonts w:ascii="Montserrat SemiBold" w:cs="Montserrat SemiBold" w:eastAsia="Montserrat SemiBold" w:hAnsi="Montserrat SemiBold"/>
          <w:b/>
          <w:bCs/>
          <w:color w:val="E6375D"/>
          <w:sz w:val="34"/>
          <w:szCs w:val="34"/>
        </w:rPr>
        <w:t xml:space="preserve">5  </w:t>
      </w:r>
      <w:r>
        <w:rPr>
          <w:rFonts w:ascii="Montserrat SemiBold" w:cs="Montserrat SemiBold" w:eastAsia="Montserrat SemiBold" w:hAnsi="Montserrat SemiBold"/>
          <w:b/>
          <w:bCs/>
          <w:color w:val="004899"/>
          <w:sz w:val="34"/>
          <w:szCs w:val="34"/>
        </w:rPr>
        <w:t xml:space="preserve">Dependencias funcionales y temporales</w:t>
      </w:r>
    </w:p>
    <w:p>
      <w:pPr>
        <w:spacing w:after="140" w:line="288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De 22 dependencias identificadas, 3 tienen riesgo crítico y 8 riesgo alto. Ninguna está registrada en el .mpp: </w:t>
      </w: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todas son dependencias funcionales propuestas que requieren validación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.</w:t>
      </w:r>
    </w:p>
    <w:p>
      <w:pPr>
        <w:spacing w:after="140" w:line="288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Cómo leer el cuadro: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La </w:t>
      </w: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fecha requerida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es el inicio del proceso receptor. Cuando el entregable se necesita para cerrar el diseño del receptor, se usa su fin; en ese caso se indica "(fin)".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La </w:t>
      </w: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fecha disponible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es el fin del proceso origen.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La </w:t>
      </w: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brecha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es la disponible menos la requerida. Un valor positivo es un atraso; uno negativo es holgura.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Las filas del .mpp van entre paréntesis.</w:t>
      </w:r>
    </w:p>
    <w:p>
      <w:pPr>
        <w:keepNext/>
        <w:spacing w:after="100" w:before="200"/>
      </w:pPr>
      <w:r>
        <w:rPr>
          <w:rFonts w:ascii="Montserrat" w:cs="Montserrat" w:eastAsia="Montserrat" w:hAnsi="Montserrat"/>
          <w:b/>
          <w:bCs/>
          <w:color w:val="E6375D"/>
          <w:sz w:val="19"/>
          <w:szCs w:val="19"/>
        </w:rPr>
        <w:t xml:space="preserve">Cuadro 3. Matriz de dependencias funcionales y temporales</w:t>
      </w:r>
    </w:p>
    <w:tbl>
      <w:tblPr>
        <w:tblW w:type="dxa" w:w="147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300"/>
        <w:gridCol w:w="2200"/>
        <w:gridCol w:w="1600"/>
        <w:gridCol w:w="1300"/>
        <w:gridCol w:w="2200"/>
        <w:gridCol w:w="1250"/>
        <w:gridCol w:w="1250"/>
        <w:gridCol w:w="1100"/>
        <w:gridCol w:w="1998"/>
      </w:tblGrid>
      <w:tr>
        <w:trPr>
          <w:tblHeader/>
        </w:trPr>
        <w:tc>
          <w:tcPr>
            <w:tcW w:type="dxa" w:w="6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N.º</w:t>
            </w:r>
          </w:p>
        </w:tc>
        <w:tc>
          <w:tcPr>
            <w:tcW w:type="dxa" w:w="13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Sistema origen</w:t>
            </w:r>
          </w:p>
        </w:tc>
        <w:tc>
          <w:tcPr>
            <w:tcW w:type="dxa" w:w="22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Macroproceso / proceso origen</w:t>
            </w:r>
          </w:p>
        </w:tc>
        <w:tc>
          <w:tcPr>
            <w:tcW w:type="dxa" w:w="16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Entregable requerido</w:t>
            </w:r>
          </w:p>
        </w:tc>
        <w:tc>
          <w:tcPr>
            <w:tcW w:type="dxa" w:w="13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Sistema destino</w:t>
            </w:r>
          </w:p>
        </w:tc>
        <w:tc>
          <w:tcPr>
            <w:tcW w:type="dxa" w:w="22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Macroproceso / proceso dependiente</w:t>
            </w:r>
          </w:p>
        </w:tc>
        <w:tc>
          <w:tcPr>
            <w:tcW w:type="dxa" w:w="125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Fecha requerida</w:t>
            </w:r>
          </w:p>
        </w:tc>
        <w:tc>
          <w:tcPr>
            <w:tcW w:type="dxa" w:w="125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Fecha disponible</w:t>
            </w:r>
          </w:p>
        </w:tc>
        <w:tc>
          <w:tcPr>
            <w:tcW w:type="dxa" w:w="11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Brecha (días)</w:t>
            </w:r>
          </w:p>
        </w:tc>
        <w:tc>
          <w:tcPr>
            <w:tcW w:type="dxa" w:w="1998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Riesgo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Tesorería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Asignación de pago y Flujos de caja diarios (162–163)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Cuota de pago y cronograma de pagos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Tesorería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Gestión de pagos (232, 234, 236)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20/04/2027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31/05/2028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+407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ED323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Crítico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D2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Abastecimiento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Generación de contrato, OC y OS (196)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Documento de compromiso (contrato u orden)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Ejecución de gastos de bienes, servicios y obras (181)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01/06/2027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01/10/2027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+122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ED323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Crítico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D3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Abastecimiento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Conformidad (197)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Conformidad para el devengado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Ejecución de gastos de bienes, servicios y obras (181)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31/07/2027 (fin)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07/01/2028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+160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ED323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Crítico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D4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Ejecución presupuestaria y Modificaciones (177, 180)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Ejecución y modificaciones del año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Evaluación: Estados presupuestales y Cierre presupuestario (359–360)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01/10/2026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22/11/2027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+417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Alto (salvo que se use el SIAF-SP)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D5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Presupuesto, Tesorería y Endeudamiento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Ejecución, pagos y operaciones de deuda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Transacciones que generan asientos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Evaluación: Integrar información contable y Estados financieros (355, 358)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08/02/2027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22/11/2027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+287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D6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Siete sistemas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procesos de 2028–2029 (Endeudamiento etapa 2, almacén, regímenes especiales)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Eventos contables nuevos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Actualización 2 de Catálogo de Eventos y Motor (347)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28/12/2029 (fin del diseño)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22/09/2028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462 días sin cobertura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D7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Formulación multianual del presupuesto de cada proyecto (150)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 por proyecto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Formulación del presupuesto (144)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19/01/2027 (fin)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30/06/2027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+162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Alto (confirmar ciclo)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D8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Administrador de Metas (140)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Metas presupuestarias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Formulación del presupuesto (144)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19/01/2027 (fin)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22/03/2027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+62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D9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Catálogos: Clasificadores de Cambio Climático y Pueblos Indígenas (49–50)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Clasificadores temáticos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Formulación (144)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19/01/2027 (fin)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31/03/2027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+44 a +71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D10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 versión 2 y Relación Actividad por Finalidad (128–132)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Estructura programática 2027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Formulación (144)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19/01/2027 (fin)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05/03/2027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+6 a +45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D11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Elaboración de la PMI y PMIE (147, StandBy, 62 %)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 multianual de inversiones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Registro de estructura del proyecto (149)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01/12/2026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30/11/2026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−1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Alto (StandBy)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D12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Endeudamiento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Compromiso y devengado del servicio de deuda (269)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Instrucciones de pago de deuda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Ejecución de gastos de operaciones de endeudamiento (186)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15/10/2027 (fin)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25/11/2027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+41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D13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Ejecución presupuestaria (180)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Ejecución del gasto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Evaluación: Seguimiento de metas físicas y financieras (366–367)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04/10/2027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22/11/2027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+49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D14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Endeudamiento / Inversiones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Catálogos: Catálogo relacional Deuda Inversión (82, "Por actualizar")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Relación deuda–proyecto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 y Endeudamiento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Registro de estructura del proyecto (149); Concertación (256)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01/12/2026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31/12/2026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+30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D15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Gestión administrativa de inversiones (188)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Ejecución de convenios y desembolsos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Evaluación: Seguimiento físico y financiero (350)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01/08/2027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30/08/2027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+29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D16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Abastecimiento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CMN Programación (153) y PAC (155)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Cuadro multianual de necesidades y PAC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Abastecimiento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Actuaciones preparatorias (195)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12/01/2027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25/01/2027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+13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D17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Endeudamiento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Proyección del servicio de la deuda (167, 169)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Servicio de deuda proyectado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Formulación (144)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19/01/2027 (fin)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29/01/2027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+10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D18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Tesorería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Recursos por OOC, RO y RD (160, 2 %)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Estimación de ingresos por fuente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Formulación (144)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19/01/2027 (fin)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29/01/2027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+10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D19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Catálogos: Agregación y Consolidación presupuestal y contable (108–109)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Reglas de consolidación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Evaluación: Consolidación presupuestal y contable (356–357)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15/10/2027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21/10/2027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+6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3BB4AA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Bajo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D20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Cuotas de compromiso (175–176, "Por validar")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Cuotas de compromiso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Ejecución presupuestaria (180)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01/06/2027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31/05/2027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−1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3BB4AA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Bajo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D21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Programación: Formulación y Aprobación (144–145)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 aprobado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Apertura del ejercicio (173)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22/03/2027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05/02/2027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−45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3BB4AA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Bajo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D22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GFRH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Planillas del sector público (216)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Planilla para el compromiso y el pago</w:t>
            </w:r>
          </w:p>
        </w:tc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 y Tesorería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Gestión: Ejecución de gastos de gestión fiscal (182); Gestión de pagos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16/06/2027</w:t>
            </w:r>
          </w:p>
        </w:tc>
        <w:tc>
          <w:tcPr>
            <w:tcW w:type="dxa" w:w="12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30/09/2026</w:t>
            </w:r>
          </w:p>
        </w:tc>
        <w:tc>
          <w:tcPr>
            <w:tcW w:type="dxa" w:w="1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−259</w:t>
            </w:r>
          </w:p>
        </w:tc>
        <w:tc>
          <w:tcPr>
            <w:tcW w:type="dxa" w:w="19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3BB4AA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Bajo (prueba integrada tardía)</w:t>
            </w:r>
          </w:p>
        </w:tc>
      </w:tr>
    </w:tbl>
    <w:p>
      <w:pPr>
        <w:spacing w:after="120"/>
      </w:pPr>
    </w:p>
    <w:p>
      <w:pPr>
        <w:spacing w:after="140" w:line="288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Solapamientos viables con entregas parciales: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D13, D15, D16, D19 y D20. En estos casos basta con definir una versión funcional mínima del origen que habilite al receptor. No requieren cambiar fechas, pero sí registrar el vínculo con un desfase.</w:t>
      </w:r>
    </w:p>
    <w:p>
      <w:pPr>
        <w:spacing w:after="140" w:line="288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Inversiones de secuencia que no se resuelven con entregas parciales: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D1, D2, D3, D4 y D5. El receptor termina su diseño antes de que exista el diseño del origen.</w:t>
      </w:r>
    </w:p>
    <w:p>
      <w:pPr>
        <w:pageBreakBefore/>
      </w:pPr>
    </w:p>
    <w:p>
      <w:pPr>
        <w:pStyle w:val="Heading1"/>
        <w:keepNext/>
        <w:spacing w:after="200" w:before="120"/>
      </w:pPr>
      <w:r>
        <w:rPr>
          <w:rFonts w:ascii="Montserrat SemiBold" w:cs="Montserrat SemiBold" w:eastAsia="Montserrat SemiBold" w:hAnsi="Montserrat SemiBold"/>
          <w:b/>
          <w:bCs/>
          <w:color w:val="E6375D"/>
          <w:sz w:val="34"/>
          <w:szCs w:val="34"/>
        </w:rPr>
        <w:t xml:space="preserve">6  </w:t>
      </w:r>
      <w:r>
        <w:rPr>
          <w:rFonts w:ascii="Montserrat SemiBold" w:cs="Montserrat SemiBold" w:eastAsia="Montserrat SemiBold" w:hAnsi="Montserrat SemiBold"/>
          <w:b/>
          <w:bCs/>
          <w:color w:val="004899"/>
          <w:sz w:val="34"/>
          <w:szCs w:val="34"/>
        </w:rPr>
        <w:t xml:space="preserve">Alertas de integración</w:t>
      </w:r>
    </w:p>
    <w:p>
      <w:pPr>
        <w:spacing w:after="140" w:line="288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Se identifican 19 alertas: 2 críticas, 5 altas, 8 medias y 4 bajas. Solo se califica como crítica una alerta cuando el proceso receptor cierra su diseño antes de que exista el insumo y no hay entrega parcial posible. Un simple solapamiento de fechas no basta.</w:t>
      </w:r>
    </w:p>
    <w:p>
      <w:pPr>
        <w:keepNext/>
        <w:spacing w:after="100" w:before="200"/>
      </w:pPr>
      <w:r>
        <w:rPr>
          <w:rFonts w:ascii="Montserrat" w:cs="Montserrat" w:eastAsia="Montserrat" w:hAnsi="Montserrat"/>
          <w:b/>
          <w:bCs/>
          <w:color w:val="E6375D"/>
          <w:sz w:val="19"/>
          <w:szCs w:val="19"/>
        </w:rPr>
        <w:t xml:space="preserve">Cuadro 4. Alertas de integración</w:t>
      </w:r>
    </w:p>
    <w:tbl>
      <w:tblPr>
        <w:tblW w:type="dxa" w:w="147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0"/>
        <w:gridCol w:w="1350"/>
        <w:gridCol w:w="1350"/>
        <w:gridCol w:w="2200"/>
        <w:gridCol w:w="3300"/>
        <w:gridCol w:w="2300"/>
        <w:gridCol w:w="1050"/>
        <w:gridCol w:w="2698"/>
      </w:tblGrid>
      <w:tr>
        <w:trPr>
          <w:tblHeader/>
        </w:trPr>
        <w:tc>
          <w:tcPr>
            <w:tcW w:type="dxa" w:w="55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N.º</w:t>
            </w:r>
          </w:p>
        </w:tc>
        <w:tc>
          <w:tcPr>
            <w:tcW w:type="dxa" w:w="135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Sistema</w:t>
            </w:r>
          </w:p>
        </w:tc>
        <w:tc>
          <w:tcPr>
            <w:tcW w:type="dxa" w:w="135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Macroprocesos involucrados</w:t>
            </w:r>
          </w:p>
        </w:tc>
        <w:tc>
          <w:tcPr>
            <w:tcW w:type="dxa" w:w="22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Hallazgo</w:t>
            </w:r>
          </w:p>
        </w:tc>
        <w:tc>
          <w:tcPr>
            <w:tcW w:type="dxa" w:w="33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Evidencia del cronograma</w:t>
            </w:r>
          </w:p>
        </w:tc>
        <w:tc>
          <w:tcPr>
            <w:tcW w:type="dxa" w:w="23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Impacto</w:t>
            </w:r>
          </w:p>
        </w:tc>
        <w:tc>
          <w:tcPr>
            <w:tcW w:type="dxa" w:w="105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Nivel de alerta</w:t>
            </w:r>
          </w:p>
        </w:tc>
        <w:tc>
          <w:tcPr>
            <w:tcW w:type="dxa" w:w="2698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Acción requerida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Tesorería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 → Gestión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cuota de pago se diseña después de los procesos de pago que la usan.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Asignación de pago (163): 01/05/2028–31/05/2028. Flujos de caja diarios (162): 01/03/2028–28/04/2028. Gestión de pagos: desde 20/04/2027 (232); Entre CUT (236) y Operativización del pago (234) terminan en septiembre de 2027.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Los MFD de pagos se cierran sin la regla que habilita el pago. Habrá retrabajo y no se podrá probar el ciclo compromiso–devengado–pago.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ED323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Crítica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Adelantar 162–163 (Cuadro 5, ajuste 1) o definir una cuota de pago mínima antes del 20/04/2027.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2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Abastecimiento y Presupuesto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 ↔ Gestión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El diseño de la ejecución del gasto de bienes y servicios termina antes que el contrato, la orden y la conformidad.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Ejecución de gastos de bienes, servicios y obras (181): 01/06/2027–31/07/2027. Generación de contrato, OC y OS (196): 14/05/2027–01/10/2027. Conformidad (197): 01/09/2027–07/01/2028.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El compromiso y el devengado de bienes y servicios, la mayor parte del gasto corriente, se diseñan sin su documento fuente.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ED323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Crítica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Reprogramar 181 en dos entregas, compromiso y devengado (Cuadro 5, ajuste 2), y vincularlas con 196 y 197.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3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Transversal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Los cuatro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El cronograma no puede demostrar la integración porque no tiene lógica de red.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 predecesoras en 374 filas; 304 de 307 tareas en modo manual; sin línea base, fecha de estado, hitos ni recursos. La construcción del software (fila 133) es un marcador de 1 día.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No hay ruta crítica. Un atraso no se propaga, y la puesta en producción no tiene fecha.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Registrar los vínculos del Cuadro 3, pasar las tareas a modo automático, guardar una línea base y programar el C3 por sistema.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4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 → Evaluación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Los cierres y estados se diseñan antes que la ejecución que deben reflejar.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Estados presupuestales y Cierre presupuestario (359–360): 01/10/2026–06/02/2027, en 0 % a pesar de que debieron iniciar. Estados financieros (358): hasta 08/06/2027. Ejecución presupuestaria (180): hasta 22/11/2027.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Si la fuente es el nuevo módulo de Ejecución, habrá rediseño. Si es el SIAF-SP (integración 344 concluida), es viable, pero se debe documentar.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Confirmar la fuente de datos. Si es el nuevo módulo, aplicar el Cuadro 5, ajuste 6.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5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 (todos los sistemas)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El motor contable no se actualiza para los procesos diseñados después de septiembre de 2028.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Actualización 2 de Catálogo de Eventos y Motor (347): fin 22/09/2028. Endeudamiento etapa 2 incluye "Ajustes contables – Diferencia de cambio" (332, 2029) y "Carga financiera devengada" (327, 2029). Gestión de almacén: 2029.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Operaciones de deuda y almacén sin eventos contables definidos.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Agregar una Actualización 3 del motor, posterior al 28/12/2029 o por entregas anuales.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6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 y Programación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Las metas, los clasificadores temáticos y la estructura programática 2027 terminan después de la Formulación.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Administrador de Metas (140, "Por validar"): fin 22/03/2027. Cambio Climático (49): 04/03/2027. Pueblos Indígenas (50): 31/03/2027. Catálogos versión 2 (128–132, "No figura en PMO"): hasta 05/03/2027. Formulación (144): fin 19/01/2027.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Formulación se diseña con estructuras incompletas; las versiones 2 no están en el alcance aprobado.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Adelantar o definir el ciclo de aplicación (Cuadro 5, ajustes 3 a 5). Incorporar las versiones 2 al PMO.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7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 ↔ Presupuesto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cadena de programación de inversiones está detenida y desfasada del ciclo presupuestario.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PMI y PMIE (147): StandBy, 62 %, fin 30/11/2026; la fila 149 empieza el 01/12/2026. Formulación multianual por proyecto (150): 01/04/2027–30/06/2027. Catálogo de ciudad país (127): StandBy, 7 %.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Sin la PMI no hay estructura de proyectos para Presupuesto ni para Endeudamiento.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Decidir si se reactiva la PMI y confirmar a qué ciclo de formulación corresponde la fila 150.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8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Endeudamiento y Tesorería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 → Programación (Presupuesto)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Los insumos de deuda e ingresos llegan 10 días después del fin de la Formulación.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Proyección del servicio de deuda (167) y Consolidación (169): fin 29/01/2027. Recursos por OOC, RO y RD (160, 2 %): fin 29/01/2027. Las filas 165 y 170 tienen la restricción "No finalizar antes del 29/01/2027".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Brecha corta, que se puede cubrir con una entrega parcial.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Entregar una versión preliminar al 15/01/2027 y revisar si la restricción se justifica.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9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 y Endeudamiento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Hay procesos posiblemente duplicados sobre convenios y desembolsos.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Inversiones: Estructura de convenios (189) y Gestión de desembolsos (191). Endeudamiento: Registro de estructura de convenios (282) y Gestión de desembolsos (279). Todos entre enero y mayo de 2027. Catálogo relacional Deuda Inversión (82): "Por actualizar".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Doble diseño, o datos de convenios con dos fuentes.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Definir un sistema titular y que el otro consuma el dato. Actualizar el catálogo 82 antes del 01/12/2026.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10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 y Tesorería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Procesos clave están fuera del alcance PMO.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33 actividades dicen "No figura en PMO", entre ellas las 7 de Ejecución presupuestaria (181–187) y 6 de las 9 de Gestión de pagos.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Riesgo de que no tengan presupuesto ni prioridad en la fábrica de software.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Que la Coordinación decida si se incorporan al PMO.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11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Abastecimiento, GFRH, Tesorería y Endeudamiento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Evaluación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Estos cuatro sistemas no tienen procesos de Evaluación.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El Macroproceso de Evaluación solo tiene actividades de Contabilidad, Inversiones y Presupuesto, y termina el 16/09/2028, 468 días antes que Gestión.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Evaluación no cubre deuda, liquidez, adquisiciones ni planillas.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Confirmar si es una decisión de alcance o un faltante.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12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 e Inversiones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 → Evaluación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Evaluación empieza antes de que termine el diseño de la Gestión que la alimenta.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Seguimiento de metas (366): desde 04/10/2027; la Ejecución (180) termina el 22/11/2027. Seguimiento físico y financiero (350): desde 01/08/2027; la Gestión administrativa (188) termina el 30/08/2027.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Viable con entregas parciales.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Registrar los vínculos fin–comienzo con un desfase negativo y definir la versión mínima.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13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Endeudamiento y Presupuesto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ejecución de gastos de deuda termina antes que la emisión de instrucciones de pago.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Ejecución de gastos de operaciones de endeudamiento (186): fin 15/10/2027. Compromiso y devengado del servicio de deuda (269): fin 25/11/2027.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Desalineación de 41 días.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Alinear el fin de 186 con el de 269, o al revés.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14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Transversal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Los cuatro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calidad de los datos del cronograma es insuficiente para hacer seguimiento.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6 tareas vencidas al 99 % (25, 46, 59, 60, 62, 63). 8 tareas que debieron iniciar siguen en 0 % (48, 51, 81, 130, 250, 251, 359, 360). El Estado UCP no coincide con el avance (filas 47, 138, 144, 168). Hay duplicados (141–142, 69/75) y una "&lt;Tarea nueva&gt;" (81).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Los reportes de avance pueden inducir a error.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Depurar el archivo antes de guardar la línea base.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15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Abastecimiento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 → Gestión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Las actuaciones preparatorias empiezan antes de que terminen el CMN y el PAC.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CMN Programación (153): fin 25/01/2027. PAC (155, "No figura en PMO"): fin 11/01/2027. Actuaciones preparatorias (195): inicio 12/01/2027.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Solapamiento de 13 días, viable de forma progresiva.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Registrar los vínculos e incorporar el PAC al PMO.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16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GFRH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GFRH concluyó entre 8 y 9 meses antes que sus receptores.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Planillas (216): fin 30/09/2026. Ejecución de gastos de gestión fiscal (182): desde 16/06/2027. Gestión de pagos: desde 20/04/2027.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prueba integrada será tardía y podría exigir ajustes a diseños ya cerrados.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3BB4AA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Baja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Que GFRH participe en la revisión de los MFD de 182 y de pagos.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17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 → Evaluación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El catálogo de consolidación termina 6 días después del inicio de la Consolidación.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 108–109: fin 21/10/2027. Consolidación (356–357): inicio 15/10/2027.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Menor.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3BB4AA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Baja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Adelantar el fin 13 días o aceptar el solapamiento.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18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Gestión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Ejecución depende de las cuotas de compromiso con 1 día de margen.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Cuotas (175–176, "Por validar"): fin 31/05/2027. Ejecución (180): inicio 01/06/2027.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Cualquier atraso se traslada a la Ejecución.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3BB4AA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Baja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Validar las cuotas y vincularlas.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19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Abastecimiento</w:t>
            </w:r>
          </w:p>
        </w:tc>
        <w:tc>
          <w:tcPr>
            <w:tcW w:type="dxa" w:w="13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 → Gestión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Los catálogos de almacén se concluyeron 939 días antes de usarse.</w:t>
            </w:r>
          </w:p>
        </w:tc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 70–74: fin 16/06/2026. Logística de entrada (204): inicio 10/01/2029.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Riesgo de que queden desactualizados.</w:t>
            </w:r>
          </w:p>
        </w:tc>
        <w:tc>
          <w:tcPr>
            <w:tcW w:type="dxa" w:w="1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3BB4AA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Baja</w:t>
            </w:r>
          </w:p>
        </w:tc>
        <w:tc>
          <w:tcPr>
            <w:tcW w:type="dxa" w:w="2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Prever una revisión de estos catálogos en 2028.</w:t>
            </w:r>
          </w:p>
        </w:tc>
      </w:tr>
    </w:tbl>
    <w:p>
      <w:pPr>
        <w:spacing w:after="120"/>
      </w:pPr>
    </w:p>
    <w:p>
      <w:pPr>
        <w:pageBreakBefore/>
      </w:pPr>
    </w:p>
    <w:p>
      <w:pPr>
        <w:pStyle w:val="Heading1"/>
        <w:keepNext/>
        <w:spacing w:after="200" w:before="120"/>
      </w:pPr>
      <w:r>
        <w:rPr>
          <w:rFonts w:ascii="Montserrat SemiBold" w:cs="Montserrat SemiBold" w:eastAsia="Montserrat SemiBold" w:hAnsi="Montserrat SemiBold"/>
          <w:b/>
          <w:bCs/>
          <w:color w:val="E6375D"/>
          <w:sz w:val="34"/>
          <w:szCs w:val="34"/>
        </w:rPr>
        <w:t xml:space="preserve">7  </w:t>
      </w:r>
      <w:r>
        <w:rPr>
          <w:rFonts w:ascii="Montserrat SemiBold" w:cs="Montserrat SemiBold" w:eastAsia="Montserrat SemiBold" w:hAnsi="Montserrat SemiBold"/>
          <w:b/>
          <w:bCs/>
          <w:color w:val="004899"/>
          <w:sz w:val="34"/>
          <w:szCs w:val="34"/>
        </w:rPr>
        <w:t xml:space="preserve">Ajustes necesarios del cronograma</w:t>
      </w:r>
    </w:p>
    <w:p>
      <w:pPr>
        <w:spacing w:after="140" w:line="288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Se proponen 12 ajustes. Siete adelantan predecesoras, tres retrasan procesos dependientes, uno agrega una actividad nueva y uno queda pendiente de decisión. Ninguno toca actividades completadas. Las fechas propuestas son calculables, pero </w:t>
      </w: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no están verificadas en viabilidad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: el .mpp no tiene recursos asignados, así que no se puede comprobar la capacidad de los CAF ni de la fábrica de software. Cada ajuste debe validarse antes de incorporarse.</w:t>
      </w:r>
    </w:p>
    <w:p>
      <w:pPr>
        <w:keepNext/>
        <w:spacing w:after="100" w:before="200"/>
      </w:pPr>
      <w:r>
        <w:rPr>
          <w:rFonts w:ascii="Montserrat" w:cs="Montserrat" w:eastAsia="Montserrat" w:hAnsi="Montserrat"/>
          <w:b/>
          <w:bCs/>
          <w:color w:val="E6375D"/>
          <w:sz w:val="19"/>
          <w:szCs w:val="19"/>
        </w:rPr>
        <w:t xml:space="preserve">Cuadro 5. Propuesta de ajustes del cronograma</w:t>
      </w:r>
    </w:p>
    <w:tbl>
      <w:tblPr>
        <w:tblW w:type="dxa" w:w="147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200"/>
        <w:gridCol w:w="2000"/>
        <w:gridCol w:w="1400"/>
        <w:gridCol w:w="1600"/>
        <w:gridCol w:w="900"/>
        <w:gridCol w:w="2300"/>
        <w:gridCol w:w="2200"/>
        <w:gridCol w:w="800"/>
        <w:gridCol w:w="1898"/>
      </w:tblGrid>
      <w:tr>
        <w:trPr>
          <w:tblHeader/>
        </w:trPr>
        <w:tc>
          <w:tcPr>
            <w:tcW w:type="dxa" w:w="5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N.º</w:t>
            </w:r>
          </w:p>
        </w:tc>
        <w:tc>
          <w:tcPr>
            <w:tcW w:type="dxa" w:w="12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Sistema</w:t>
            </w:r>
          </w:p>
        </w:tc>
        <w:tc>
          <w:tcPr>
            <w:tcW w:type="dxa" w:w="20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Proceso o actividad</w:t>
            </w:r>
          </w:p>
        </w:tc>
        <w:tc>
          <w:tcPr>
            <w:tcW w:type="dxa" w:w="14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Fecha actual</w:t>
            </w:r>
          </w:p>
        </w:tc>
        <w:tc>
          <w:tcPr>
            <w:tcW w:type="dxa" w:w="16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Fecha propuesta</w:t>
            </w:r>
          </w:p>
        </w:tc>
        <w:tc>
          <w:tcPr>
            <w:tcW w:type="dxa" w:w="9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Ajuste (días)</w:t>
            </w:r>
          </w:p>
        </w:tc>
        <w:tc>
          <w:tcPr>
            <w:tcW w:type="dxa" w:w="23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Justificación funcional</w:t>
            </w:r>
          </w:p>
        </w:tc>
        <w:tc>
          <w:tcPr>
            <w:tcW w:type="dxa" w:w="22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Impacto en otros sistemas</w:t>
            </w:r>
          </w:p>
        </w:tc>
        <w:tc>
          <w:tcPr>
            <w:tcW w:type="dxa" w:w="800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Prioridad</w:t>
            </w:r>
          </w:p>
        </w:tc>
        <w:tc>
          <w:tcPr>
            <w:tcW w:type="dxa" w:w="1898"/>
            <w:tcBorders>
              <w:top w:val="single" w:color="004899" w:sz="4"/>
              <w:left w:val="single" w:color="004899" w:sz="4"/>
              <w:bottom w:val="single" w:color="004899" w:sz="4"/>
              <w:right w:val="single" w:color="004899" w:sz="4"/>
            </w:tcBorders>
            <w:shd w:fill="00489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Tesorería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Flujos de caja diarios (162) y Asignación de pago (163)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01/03/2028 – 31/05/2028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04/01/2027 – 05/04/2027 (162 hasta 03/03; 163 del 04/03 al 05/04)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−422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 cuota de pago debe existir antes del primer proceso de pagos (20/04/2027). Se conservan las duraciones en días calendario.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Programación termina el 30/06/2027 en lugar del 31/05/2028. Los procesos de Endeudamiento que liquidan y pagan ya contarán con la cuota. Se solapa con los Flujos de caja proyectados (161).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Requiere validación del CAF de Tesorería (carga simultánea con 160, 161, 245 y 249–251)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Ejecución de gastos de bienes, servicios y obras (181): dividir en compromiso y devengado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01/06/2027 – 31/07/2027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Compromiso: 04/10/2027 – 03/12/2027. Devengado: 10/01/2028 – 10/03/2028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+125 / +223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Adelantar la OC/OS (196) y la Conformidad (197) no es viable porque dependen de las Actuaciones preparatorias (195), que terminan el 31/08/2027.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Mueve el fin del módulo de Ejecución al 10/03/2028. Afecta la Evaluación presupuestaria (hasta 24/03/2028) y los procesos contables de la fila 359.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Requiere decisión de la Coordinación y del CAF de Presupuesto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3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Administrador de Metas (140)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01/12/2026 – 22/03/2027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26/10/2026 – 15/01/2027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−66 (fin)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Las metas deben estar antes del fin de la Formulación (19/01/2027).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Habilita la Formulación y la Aprobación. Sin impacto en otros sistemas.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Requiere validación: comprime la duración de unos 80 a unos 58 días hábiles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4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Clasificadores de Cambio Climático (49) y Pueblos Indígenas (50)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Fin 04/03/2027 y 31/03/2027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26/10/2026 – 15/01/2027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−48 y −75 (fin)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Se usan para etiquetar el gasto desde la Formulación.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Ninguno directo.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Requiere decisión: adelantar, o aplicarlos desde la Formulación 2028 y mantener las fechas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5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Relación Actividad por Finalidad (132) y Programas Presupuestales v2 (128)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Fin 05/03/2027 y 25/01/2027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Fin 15/01/2027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−49 y −10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Forman parte de la estructura programática que usa la Formulación.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Ninguno directo.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Requiere incorporarlos al PMO y validar con el CAF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6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Estados presupuestales y Cierre presupuestario (359–360)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01/10/2026 – 06/02/2027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23/11/2027 – 30/03/2028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+418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Solo aplica si la fuente es el nuevo módulo de Ejecución (fin 22/11/2027).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Se solapa 8 días con la Cuenta General (363, desde 22/03/2028). Retrasa la Consolidación presupuestal (356).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Requiere decisión: si la fuente es el SIAF-SP, mantener fechas y documentarlo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7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Nueva: Actualización 3 de Catálogo de Eventos y Motor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No existe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03/09/2029 – 28/12/2029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Nueva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Cubre los eventos de Endeudamiento (etapa 2) y de Abastecimiento diseñados después del 22/09/2028.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Ninguno. Lo diseñado en septiembre–diciembre de 2029 requerirá una actualización posterior al horizonte.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Requiere validación del CAF de Contabilidad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8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Endeudamiento y Tesorería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Proyección del servicio de deuda (167, 169, 170) y Recursos por OOC, RO y RD (160): entrega preliminar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Fin 29/01/2027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Versión preliminar al 15/01/2027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−14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Insumo de la Formulación (fin 19/01/2027).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Requiere levantar la restricción "No finalizar antes del 29/01/2027" en 165 y 170.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Calculable. La fila 160 está al 2 % y necesita validación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9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Endeudamiento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 relacional Deuda Inversión (82)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02/11/2026 – 31/12/2026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02/11/2026 – 27/11/2026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−34 (fin)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Lo usan el Registro de estructura del proyecto (149) y la Concertación (256), que empiezan el 01/12/2026.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Habilita a Inversiones y Endeudamiento.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Requiere validación (estado "Por actualizar")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10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Presupuesto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Ejecución de gastos de operaciones de endeudamiento (186)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16/08/2027 – 15/10/2027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16/08/2027 – 25/11/2027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+41 (fin)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Debe cerrar después de las instrucciones de pago de deuda (269).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El módulo de Ejecución termina 3 días después (25/11/2027) si no se aplica el ajuste 2.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0093F8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Media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Calculable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11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Contabilidad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Catálogos de Agregación y Consolidación (108–109)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12/08/2027 – 21/10/2027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12/08/2027 – 08/10/2027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−13 (fin)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Deben estar listos antes de la Consolidación (15/10/2027).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Ninguno.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3BB4AA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Baja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Calculable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004899"/>
                <w:sz w:val="14"/>
                <w:szCs w:val="14"/>
              </w:rPr>
              <w:t xml:space="preserve">12</w:t>
            </w:r>
          </w:p>
        </w:tc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Inversiones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PMI y PMIE (147) y Formulación multianual por proyecto (150)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147: fin 30/11/2026 (StandBy). 150: 01/04/2027 – 30/06/2027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No determinable</w:t>
            </w:r>
          </w:p>
        </w:tc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—</w:t>
            </w:r>
          </w:p>
        </w:tc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Falta saber si se reactiva la fila 147 y a qué ciclo de formulación corresponde la 150.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Condiciona las filas 149, 189 y 256 y la Formulación de Presupuesto.</w:t>
            </w:r>
          </w:p>
        </w:tc>
        <w:tc>
          <w:tcPr>
            <w:tcW w:type="dxa" w:w="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F5BB47"/>
                <w:sz w:val="18"/>
                <w:szCs w:val="18"/>
              </w:rPr>
              <w:t xml:space="preserve">● </w:t>
            </w:r>
            <w:r>
              <w:rPr>
                <w:rFonts w:ascii="Montserrat" w:cs="Montserrat" w:eastAsia="Montserrat" w:hAnsi="Montserrat"/>
                <w:b/>
                <w:bCs/>
                <w:color w:val="4B4B4D"/>
                <w:sz w:val="14"/>
                <w:szCs w:val="14"/>
              </w:rPr>
              <w:t xml:space="preserve">Alta</w:t>
            </w:r>
          </w:p>
        </w:tc>
        <w:tc>
          <w:tcPr>
            <w:tcW w:type="dxa" w:w="18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ontserrat" w:cs="Montserrat" w:eastAsia="Montserrat" w:hAnsi="Montserrat"/>
                <w:color w:val="4B4B4D"/>
                <w:sz w:val="14"/>
                <w:szCs w:val="14"/>
              </w:rPr>
              <w:t xml:space="preserve">Decisión necesaria de la Coordinación con el CAF de Inversiones</w:t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Efectos en cadena: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Los ajustes 1 y 2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cambian los extremos de dos macroprocesos. Programación termina el 30/06/2027. El módulo de Ejecución presupuestaria se extiende al 10/03/2028, lo que deja 14 días de margen con el fin de la Evaluación presupuestaria (24/03/2028).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Los ajustes 3, 4 y 5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comprimen trabajo en noviembre y diciembre de 2026 para el CAF de Presupuesto, que ya tiene 10 catálogos con avance parcial y 4 procesos de Programación en curso. Es la principal restricción de capacidad que se debe verificar.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El fin del proyecto (28/12/2029) no cambia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con ninguno de los ajustes propuestos.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1150" w:right="1020" w:bottom="950" w:left="1020" w:header="450" w:footer="450" w:gutter="0"/>
          <w:pgNumType/>
          <w:docGrid w:linePitch="360"/>
        </w:sectPr>
      </w:pPr>
    </w:p>
    <w:p>
      <w:pPr>
        <w:pStyle w:val="Heading1"/>
        <w:keepNext/>
        <w:spacing w:after="200" w:before="120"/>
      </w:pPr>
      <w:r>
        <w:rPr>
          <w:rFonts w:ascii="Montserrat SemiBold" w:cs="Montserrat SemiBold" w:eastAsia="Montserrat SemiBold" w:hAnsi="Montserrat SemiBold"/>
          <w:b/>
          <w:bCs/>
          <w:color w:val="E6375D"/>
          <w:sz w:val="34"/>
          <w:szCs w:val="34"/>
        </w:rPr>
        <w:t xml:space="preserve">8  </w:t>
      </w:r>
      <w:r>
        <w:rPr>
          <w:rFonts w:ascii="Montserrat SemiBold" w:cs="Montserrat SemiBold" w:eastAsia="Montserrat SemiBold" w:hAnsi="Montserrat SemiBold"/>
          <w:b/>
          <w:bCs/>
          <w:color w:val="004899"/>
          <w:sz w:val="34"/>
          <w:szCs w:val="34"/>
        </w:rPr>
        <w:t xml:space="preserve">Gráficos ejecutivos</w:t>
      </w:r>
    </w:p>
    <w:p>
      <w:pPr>
        <w:keepNext/>
        <w:spacing w:after="100" w:before="200"/>
      </w:pPr>
      <w:r>
        <w:rPr>
          <w:rFonts w:ascii="Montserrat" w:cs="Montserrat" w:eastAsia="Montserrat" w:hAnsi="Montserrat"/>
          <w:b/>
          <w:bCs/>
          <w:color w:val="E6375D"/>
          <w:sz w:val="19"/>
          <w:szCs w:val="19"/>
        </w:rPr>
        <w:t xml:space="preserve">Gráfico 1. Cronograma integrado por macroproceso y sistema</w:t>
      </w:r>
    </w:p>
    <w:p>
      <w:pPr>
        <w:spacing w:after="120" w:before="60"/>
        <w:jc w:val="center"/>
      </w:pPr>
      <w:r>
        <w:drawing>
          <wp:inline distT="0" distB="0" distL="0" distR="0">
            <wp:extent cx="6267450" cy="3524250"/>
            <wp:effectExtent t="0" r="0" b="0" l="0"/>
            <wp:docPr id="1" name="g1.png" descr="Gráfico del informe" title="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88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Los catálogos (2023–2027) preceden a todo. Programación, Gestión y Evaluación se superponen en 2027–2028 en cinco sistemas. La Gestión de Endeudamiento y de Abastecimiento continúa sola hasta 2029, sin Evaluación asociada.</w:t>
      </w:r>
    </w:p>
    <w:p>
      <w:pPr>
        <w:keepNext/>
        <w:spacing w:after="100" w:before="200"/>
      </w:pPr>
      <w:r>
        <w:rPr>
          <w:rFonts w:ascii="Montserrat" w:cs="Montserrat" w:eastAsia="Montserrat" w:hAnsi="Montserrat"/>
          <w:b/>
          <w:bCs/>
          <w:color w:val="E6375D"/>
          <w:sz w:val="19"/>
          <w:szCs w:val="19"/>
        </w:rPr>
        <w:t xml:space="preserve">Gráfico 2. Dependencias entre macroprocesos</w:t>
      </w:r>
    </w:p>
    <w:p>
      <w:pPr>
        <w:spacing w:after="120" w:before="60"/>
        <w:jc w:val="center"/>
      </w:pPr>
      <w:r>
        <w:drawing>
          <wp:inline distT="0" distB="0" distL="0" distR="0">
            <wp:extent cx="6267450" cy="3524250"/>
            <wp:effectExtent t="0" r="0" b="0" l="0"/>
            <wp:docPr id="1" name="g2.png" descr="Gráfico del informe" title="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88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Las flechas en rojo (1 y 2) marcan el ciclo del gasto, donde el proceso receptor se diseña antes que su insumo. Las ámbar (3 a 5) se resuelven adelantando insumos o con entregas parciales.</w:t>
      </w:r>
    </w:p>
    <w:p>
      <w:pPr>
        <w:pageBreakBefore/>
      </w:pPr>
    </w:p>
    <w:p>
      <w:pPr>
        <w:pStyle w:val="Heading1"/>
        <w:keepNext/>
        <w:spacing w:after="200" w:before="120"/>
      </w:pPr>
      <w:r>
        <w:rPr>
          <w:rFonts w:ascii="Montserrat SemiBold" w:cs="Montserrat SemiBold" w:eastAsia="Montserrat SemiBold" w:hAnsi="Montserrat SemiBold"/>
          <w:b/>
          <w:bCs/>
          <w:color w:val="E6375D"/>
          <w:sz w:val="34"/>
          <w:szCs w:val="34"/>
        </w:rPr>
        <w:t xml:space="preserve">9  </w:t>
      </w:r>
      <w:r>
        <w:rPr>
          <w:rFonts w:ascii="Montserrat SemiBold" w:cs="Montserrat SemiBold" w:eastAsia="Montserrat SemiBold" w:hAnsi="Montserrat SemiBold"/>
          <w:b/>
          <w:bCs/>
          <w:color w:val="004899"/>
          <w:sz w:val="34"/>
          <w:szCs w:val="34"/>
        </w:rPr>
        <w:t xml:space="preserve">Conclusiones y decisiones requeridas</w:t>
      </w:r>
    </w:p>
    <w:p>
      <w:pPr>
        <w:spacing w:after="140" w:line="288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La integración es alcanzable sin mover el fin del proyecto (28/12/2029), pero el cronograma actual no la garantiza.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Para eso hacen falta tres condiciones: corregir las dos alertas críticas, convertir el archivo en un cronograma con lógica de red y que la Coordinación tome cuatro decisiones de alcance.</w:t>
      </w: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Conclusiones: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Clasificadores y Catálogos no es el cuello de botella.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Está al 92 %, y lo pendiente se concentra en Presupuesto para el ciclo de Formulación 2027.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El ciclo presupuestario 2027 es el punto más frágil.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Cinco insumos de cuatro sistemas llegan después del fin de la Formulación (D7 a D10, D17 y D18).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El diseño del ciclo del gasto no es secuencial entre sistemas.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El compromiso, el devengado y el pago se diseñan antes que sus documentos fuente: la OC/OS y la Conformidad de Abastecimiento, y la cuota de pago de Tesorería.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Evaluación está incompleta y adelantada.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Cubre tres de los siete sistemas, y en Contabilidad se diseña antes que la Gestión que evalúa.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Montserrat" w:cs="Montserrat" w:eastAsia="Montserrat" w:hAnsi="Montserrat"/>
          <w:b/>
          <w:bCs/>
          <w:color w:val="004899"/>
          <w:sz w:val="20"/>
          <w:szCs w:val="20"/>
        </w:rPr>
        <w:t xml:space="preserve">El cronograma no sirve todavía como instrumento de control.</w:t>
      </w: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 No tiene vínculos, línea base, fecha de estado ni fechas de construcción (C3).</w:t>
      </w: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Decisiones requeridas de la Coordinación y la UCP: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Aprobar la reprogramación de la cuota de pago de Tesorería (Cuadro 5, ajuste 1) o una versión mínima anterior al 20/04/2027.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Decidir cómo se diseña la ejecución de bienes, servicios y obras respecto de la OC/OS y la Conformidad (ajuste 2).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Confirmar la fuente de datos de los cierres y estados contables de 2026–2027: SIAF-SP o nuevo módulo (ajuste 6).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Definir si la PMI de Inversiones sale de StandBy y a qué ciclo corresponde la fila 150 (ajuste 12).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Decidir si se incorporan al PMO las 33 actividades marcadas como "No figura en PMO".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Confirmar si Abastecimiento, GFRH, Tesorería y Endeudamiento deben tener procesos de Evaluación.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Definir un único sistema titular para los convenios, desembolsos y acreedores que comparten Inversiones, Endeudamiento y Tesorería.</w:t>
      </w:r>
    </w:p>
    <w:p>
      <w:pPr>
        <w:keepNext/>
        <w:spacing w:after="80" w:before="200"/>
      </w:pPr>
      <w:r>
        <w:rPr>
          <w:rFonts w:ascii="Montserrat" w:cs="Montserrat" w:eastAsia="Montserrat" w:hAnsi="Montserrat"/>
          <w:b/>
          <w:bCs/>
          <w:color w:val="004899"/>
          <w:sz w:val="21"/>
          <w:szCs w:val="21"/>
        </w:rPr>
        <w:t xml:space="preserve">Acciones técnicas sobre el archivo .mpp (responsable: PMO):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Depurar los duplicados, la "&lt;Tarea nueva&gt;", el marcador C3 y las inconsistencias de Estado UCP (alerta 14).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Registrar como vínculos las 22 dependencias del Cuadro 3, con desfase cuando se acepte un solapamiento.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Pasar las tareas a programación automática, definir una fecha de estado mensual y guardar la línea base.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Montserrat" w:cs="Montserrat" w:eastAsia="Montserrat" w:hAnsi="Montserrat"/>
          <w:color w:val="4B4B4D"/>
          <w:sz w:val="20"/>
          <w:szCs w:val="20"/>
        </w:rPr>
        <w:t xml:space="preserve">Programar la construcción (C3) y la puesta en producción por sistema, para medir la disponibilidad real de cada entregable.</w:t>
      </w:r>
    </w:p>
    <w:sectPr>
      <w:headerReference w:type="default" r:id="rId11"/>
      <w:footerReference w:type="default" r:id="rId12"/>
      <w:pgSz w:w="11906" w:h="16838" w:orient="portrait"/>
      <w:pgMar w:top="1300" w:right="1020" w:bottom="1100" w:left="102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4" w:space="6"/>
      </w:pBdr>
      <w:jc w:val="right"/>
    </w:pPr>
    <w:r>
      <w:rPr>
        <w:rFonts w:ascii="Montserrat" w:cs="Montserrat" w:eastAsia="Montserrat" w:hAnsi="Montserrat"/>
        <w:color w:val="6B6B6E"/>
        <w:sz w:val="14"/>
        <w:szCs w:val="14"/>
      </w:rPr>
      <w:t xml:space="preserve">Resumen Ejecutivo de Integración Funcional y Temporal – Cronograma AFSP  |  </w:t>
    </w:r>
    <w:r>
      <w:rPr>
        <w:rFonts w:ascii="Montserrat" w:cs="Montserrat" w:eastAsia="Montserrat" w:hAnsi="Montserrat"/>
        <w:b/>
        <w:bCs/>
        <w:color w:val="0048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4" w:space="6"/>
      </w:pBdr>
      <w:jc w:val="right"/>
    </w:pPr>
    <w:r>
      <w:rPr>
        <w:rFonts w:ascii="Montserrat" w:cs="Montserrat" w:eastAsia="Montserrat" w:hAnsi="Montserrat"/>
        <w:color w:val="6B6B6E"/>
        <w:sz w:val="14"/>
        <w:szCs w:val="14"/>
      </w:rPr>
      <w:t xml:space="preserve">Resumen Ejecutivo de Integración Funcional y Temporal – Cronograma AFSP  |  </w:t>
    </w:r>
    <w:r>
      <w:rPr>
        <w:rFonts w:ascii="Montserrat" w:cs="Montserrat" w:eastAsia="Montserrat" w:hAnsi="Montserrat"/>
        <w:b/>
        <w:bCs/>
        <w:color w:val="0048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4" w:space="6"/>
      </w:pBdr>
      <w:jc w:val="right"/>
    </w:pPr>
    <w:r>
      <w:rPr>
        <w:rFonts w:ascii="Montserrat" w:cs="Montserrat" w:eastAsia="Montserrat" w:hAnsi="Montserrat"/>
        <w:color w:val="6B6B6E"/>
        <w:sz w:val="14"/>
        <w:szCs w:val="14"/>
      </w:rPr>
      <w:t xml:space="preserve">Resumen Ejecutivo de Integración Funcional y Temporal – Cronograma AFSP  |  </w:t>
    </w:r>
    <w:r>
      <w:rPr>
        <w:rFonts w:ascii="Montserrat" w:cs="Montserrat" w:eastAsia="Montserrat" w:hAnsi="Montserrat"/>
        <w:b/>
        <w:bCs/>
        <w:color w:val="0048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  <w:spacing w:after="120"/>
    </w:pPr>
    <w:r>
      <w:drawing>
        <wp:inline distT="0" distB="0" distL="0" distR="0">
          <wp:extent cx="1504950" cy="295275"/>
          <wp:effectExtent t="0" r="0" b="0" l="0"/>
          <wp:docPr id="1" name="mef" descr="Logotipo del Ministerio de Economía y Finanzas" title="M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4950" cy="295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drawing>
        <wp:inline distT="0" distB="0" distL="0" distR="0">
          <wp:extent cx="952500" cy="304800"/>
          <wp:effectExtent t="0" r="0" b="0" l="0"/>
          <wp:docPr id="1" name="siaf" descr="Logotipo SIAF-RP" title="SIAF-R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4798"/>
      </w:tabs>
      <w:spacing w:after="120"/>
    </w:pPr>
    <w:r>
      <w:drawing>
        <wp:inline distT="0" distB="0" distL="0" distR="0">
          <wp:extent cx="1504950" cy="295275"/>
          <wp:effectExtent t="0" r="0" b="0" l="0"/>
          <wp:docPr id="1" name="mef" descr="Logotipo del Ministerio de Economía y Finanzas" title="M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4950" cy="295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drawing>
        <wp:inline distT="0" distB="0" distL="0" distR="0">
          <wp:extent cx="952500" cy="304800"/>
          <wp:effectExtent t="0" r="0" b="0" l="0"/>
          <wp:docPr id="1" name="siaf" descr="Logotipo SIAF-RP" title="SIAF-R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  <w:spacing w:after="120"/>
    </w:pPr>
    <w:r>
      <w:drawing>
        <wp:inline distT="0" distB="0" distL="0" distR="0">
          <wp:extent cx="1504950" cy="295275"/>
          <wp:effectExtent t="0" r="0" b="0" l="0"/>
          <wp:docPr id="1" name="mef" descr="Logotipo del Ministerio de Economía y Finanzas" title="M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4950" cy="295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drawing>
        <wp:inline distT="0" distB="0" distL="0" distR="0">
          <wp:extent cx="952500" cy="304800"/>
          <wp:effectExtent t="0" r="0" b="0" l="0"/>
          <wp:docPr id="1" name="siaf" descr="Logotipo SIAF-RP" title="SIAF-R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b/>
        <w:bCs/>
        <w:color w:val="E6375D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40" w:hanging="320"/>
      </w:pPr>
      <w:rPr>
        <w:color w:val="004899"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Montserrat SemiBold" w:cs="Montserrat SemiBold" w:eastAsia="Montserrat SemiBold" w:hAnsi="Montserrat SemiBold"/>
        <w:b/>
        <w:bCs/>
        <w:color w:val="E6375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Montserrat SemiBold" w:cs="Montserrat SemiBold" w:eastAsia="Montserrat SemiBold" w:hAnsi="Montserrat SemiBold"/>
        <w:b/>
        <w:bCs/>
        <w:color w:val="E6375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4B4B4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ontserrat SemiBold" w:cs="Montserrat SemiBold" w:eastAsia="Montserrat SemiBold" w:hAnsi="Montserrat SemiBold"/>
      <w:b/>
      <w:bCs/>
      <w:color w:val="004899"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1daeed628f999570424a658173e0ba79b81e3041.png"/><Relationship Id="rId14" Type="http://schemas.openxmlformats.org/officeDocument/2006/relationships/image" Target="media/6855295273abcdd39483e6ef232a7b7026278726.png"/><Relationship Id="rId15" Type="http://schemas.openxmlformats.org/officeDocument/2006/relationships/image" Target="media/46133abdf7168de3c03927b267d54243abe7bf15.png"/><Relationship Id="rId16" Type="http://schemas.openxmlformats.org/officeDocument/2006/relationships/image" Target="media/8aabc6852d90742255590b178975d5ee7ab72037.png"/><Relationship Id="rId17" Type="http://schemas.openxmlformats.org/officeDocument/2006/relationships/image" Target="media/24a31635768f89e2cefe8fa70046c529667f390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855295273abcdd39483e6ef232a7b7026278726.png"/><Relationship Id="rId1" Type="http://schemas.openxmlformats.org/officeDocument/2006/relationships/image" Target="media/46133abdf7168de3c03927b267d54243abe7bf1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855295273abcdd39483e6ef232a7b7026278726.png"/><Relationship Id="rId1" Type="http://schemas.openxmlformats.org/officeDocument/2006/relationships/image" Target="media/46133abdf7168de3c03927b267d54243abe7bf15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6855295273abcdd39483e6ef232a7b7026278726.png"/><Relationship Id="rId1" Type="http://schemas.openxmlformats.org/officeDocument/2006/relationships/image" Target="media/46133abdf7168de3c03927b267d54243abe7bf1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 Ejecutivo de Integración Funcional y Temporal – Cronograma AFSP</dc:title>
  <dc:creator>Proyecto AFSP</dc:creator>
  <cp:lastModifiedBy>Un-named</cp:lastModifiedBy>
  <cp:revision>1</cp:revision>
  <dcterms:created xsi:type="dcterms:W3CDTF">2026-10-22T19:25:36.743Z</dcterms:created>
  <dcterms:modified xsi:type="dcterms:W3CDTF">2026-10-22T19:25:36.743Z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