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Resumen Ejecutivo de Integración Funcional y Temporal – Cronograma AFSP</w:t>
      </w:r>
    </w:p>
    <w:p>
      <w:pPr/>
      <w:r>
        <w:t xml:space="preserve">Dirigido a: Coordinación del Proyecto y Unidad de Coordinación del Proyecto (UCP)</w:t>
      </w:r>
    </w:p>
    <w:p>
      <w:pPr/>
      <w:r>
        <w:t xml:space="preserve">Oct 22, 2026</w:t>
      </w:r>
      <w:r>
        <w:t xml:space="preserve"> · </w:t>
      </w:r>
      <w:r>
        <w:t xml:space="preserve">@Chriss</w:t>
      </w:r>
    </w:p>
    <w:p>
      <w:pPr>
        <w:pStyle w:val="Heading2"/>
      </w:pPr>
      <w:r>
        <w:t xml:space="preserve">1. Resumen ejecutivo</w:t>
      </w:r>
    </w:p>
    <w:p>
      <w:pPr/>
      <w:r>
        <w:rPr>
          <w:b/>
        </w:rPr>
        <w:t xml:space="preserve">Veredicto: el cronograma integrado, en su versión actual, no permite garantizar la integración funcional y temporal de los siete sistemas.</w:t>
      </w:r>
      <w:r>
        <w:t xml:space="preserve"> Cada sistema tiene fechas razonables por separado. Sin embargo, no existe ningún vínculo de precedencia entre sus 307 actividades, y el análisis funcional detecta tres inversiones de secuencia que comprometen la operación integrada.</w:t>
      </w:r>
    </w:p>
    <w:p>
      <w:pPr/>
      <w:r>
        <w:rPr>
          <w:b/>
        </w:rPr>
        <w:t xml:space="preserve">Cifras clave (archivo .mpp guardado el 21/10/2026):</w:t>
      </w:r>
    </w:p>
    <w:p>
      <w:pPr>
        <w:pStyle w:val="ListParagraph"/>
        <w:numPr>
          <w:ilvl w:val="0"/>
          <w:numId w:val="2"/>
        </w:numPr>
      </w:pPr>
      <w:r>
        <w:t xml:space="preserve">Horizonte: 11/09/2023 – 28/12/2029. El fin del proyecto lo fija Endeudamiento (segunda etapa).</w:t>
      </w:r>
    </w:p>
    <w:p>
      <w:pPr>
        <w:pStyle w:val="ListParagraph"/>
        <w:numPr>
          <w:ilvl w:val="0"/>
          <w:numId w:val="2"/>
        </w:numPr>
      </w:pPr>
      <w:r>
        <w:t xml:space="preserve">Avance ponderado por duración: Clasificadores y Catálogos 92 %, Programación 44 %, Gestión 12 %, Evaluación 12 %.</w:t>
      </w:r>
    </w:p>
    <w:p>
      <w:pPr>
        <w:pStyle w:val="ListParagraph"/>
        <w:numPr>
          <w:ilvl w:val="0"/>
          <w:numId w:val="2"/>
        </w:numPr>
      </w:pPr>
      <w:r>
        <w:t xml:space="preserve">0 dependencias registradas, 304 de 307 tareas programadas manualmente, sin línea base, sin fecha de estado y sin hitos.</w:t>
      </w:r>
    </w:p>
    <w:p>
      <w:pPr>
        <w:pStyle w:val="ListParagraph"/>
        <w:numPr>
          <w:ilvl w:val="0"/>
          <w:numId w:val="2"/>
        </w:numPr>
      </w:pPr>
      <w:r>
        <w:t xml:space="preserve">6 tareas vencidas al 99 % y 8 tareas que debieron iniciar y siguen en 0 %.</w:t>
      </w:r>
    </w:p>
    <w:p>
      <w:pPr>
        <w:pStyle w:val="ListParagraph"/>
        <w:numPr>
          <w:ilvl w:val="0"/>
          <w:numId w:val="2"/>
        </w:numPr>
      </w:pPr>
      <w:r>
        <w:t xml:space="preserve">33 actividades marcadas como "No figura en PMO".</w:t>
      </w:r>
    </w:p>
    <w:p>
      <w:pPr/>
      <w:r>
        <w:rPr>
          <w:b/>
        </w:rPr>
        <w:t xml:space="preserve">Alertas principales (detalle en el Cuadro 4):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Crítica – Tesorería.</w:t>
      </w:r>
      <w:r>
        <w:t xml:space="preserve"> La Gestión de pagos se diseña desde el 20/04/2027, pero la Asignación de pago (cuota de pago) recién estará el 31/05/2028: </w:t>
      </w:r>
      <w:r>
        <w:rPr>
          <w:b/>
        </w:rPr>
        <w:t xml:space="preserve">407 días</w:t>
      </w:r>
      <w:r>
        <w:t xml:space="preserve"> de brecha.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Crítica – Abastecimiento → Presupuesto.</w:t>
      </w:r>
      <w:r>
        <w:t xml:space="preserve"> La Ejecución de gastos de bienes, servicios y obras termina el 31/07/2027, antes de que existan la orden de compra/servicio (01/10/2027) y la Conformidad (07/01/2028).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Alta – Contabilidad.</w:t>
      </w:r>
      <w:r>
        <w:t xml:space="preserve"> El Cierre presupuestario, los Estados presupuestales y los Estados financieros se diseñan entre octubre de 2026 y junio de 2027, antes que la Ejecución presupuestaria (hasta 22/11/2027).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Alta – Presupuesto.</w:t>
      </w:r>
      <w:r>
        <w:t xml:space="preserve"> El Administrador de Metas, dos clasificadores temáticos y cinco catálogos versión 2 terminan entre 6 y 71 días después del fin de la Formulación (19/01/2027).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Alta – Contabilidad.</w:t>
      </w:r>
      <w:r>
        <w:t xml:space="preserve"> La última actualización del Catálogo de Eventos y Motor de Contabilización termina el 22/09/2028, pero siguen diseñándose procesos que generan asientos hasta el 28/12/2029.</w:t>
      </w:r>
    </w:p>
    <w:p>
      <w:pPr/>
      <w:r>
        <w:rPr>
          <w:b/>
        </w:rPr>
        <w:t xml:space="preserve">Lo que la UCP debe decidir ahora:</w:t>
      </w:r>
    </w:p>
    <w:p>
      <w:pPr>
        <w:pStyle w:val="ListParagraph"/>
        <w:numPr>
          <w:ilvl w:val="0"/>
          <w:numId w:val="4"/>
        </w:numPr>
      </w:pPr>
      <w:r>
        <w:t xml:space="preserve">Ordenar que se registren en el .mpp las dependencias del Cuadro 3, se guarde una línea base y se defina una fecha de estado.</w:t>
      </w:r>
    </w:p>
    <w:p>
      <w:pPr>
        <w:pStyle w:val="ListParagraph"/>
        <w:numPr>
          <w:ilvl w:val="0"/>
          <w:numId w:val="4"/>
        </w:numPr>
      </w:pPr>
      <w:r>
        <w:t xml:space="preserve">Validar con los CAF las propuestas del Cuadro 5. La de mayor impacto es adelantar la cuota de pago de Tesorería 422 días o definir una versión mínima anterior a abril de 2027.</w:t>
      </w:r>
    </w:p>
    <w:p>
      <w:pPr>
        <w:pStyle w:val="ListParagraph"/>
        <w:numPr>
          <w:ilvl w:val="0"/>
          <w:numId w:val="4"/>
        </w:numPr>
      </w:pPr>
      <w:r>
        <w:t xml:space="preserve">Confirmar si los procesos de Evaluación contable de 2026–2027 se alimentarán del SIAF-SP actual (integración ya concluida) o del nuevo módulo de Ejecución.</w:t>
      </w:r>
    </w:p>
    <w:p>
      <w:pPr>
        <w:pStyle w:val="Heading2"/>
      </w:pPr>
      <w:r>
        <w:t xml:space="preserve">2. Fuente, alcance y limitaciones</w:t>
      </w:r>
    </w:p>
    <w:p>
      <w:pPr/>
      <w:r>
        <w:t xml:space="preserve">Se analizó el archivo editable </w:t>
      </w:r>
      <w:r>
        <w:rPr>
          <w:b/>
        </w:rPr>
        <w:t xml:space="preserve">"Cronograma AFSP - Integrado.mpp"</w:t>
      </w:r>
      <w:r>
        <w:t xml:space="preserve"> (Microsoft Project, revisión 38, autor Carlos Munares, guardado el 21/10/2026). El encargo mencionaba el PDF "Integrado6", pero se usó el .mpp porque permite verificar precedencias, restricciones y modos de programación. Se revisaron las 374 filas.</w:t>
      </w:r>
    </w:p>
    <w:p>
      <w:pPr/>
      <w:r>
        <w:rPr>
          <w:b/>
        </w:rPr>
        <w:t xml:space="preserve">Criterios aplicados:</w:t>
      </w:r>
    </w:p>
    <w:p>
      <w:pPr>
        <w:pStyle w:val="ListParagraph"/>
        <w:numPr>
          <w:ilvl w:val="0"/>
          <w:numId w:val="5"/>
        </w:numPr>
      </w:pPr>
      <w:r>
        <w:t xml:space="preserve">Se usaron solo las 307 actividades operativas (sin tareas resumen) para calcular fechas, para no confundir la fecha de una tarea resumen con la disponibilidad de un entregable.</w:t>
      </w:r>
    </w:p>
    <w:p>
      <w:pPr>
        <w:pStyle w:val="ListParagraph"/>
        <w:numPr>
          <w:ilvl w:val="0"/>
          <w:numId w:val="5"/>
        </w:numPr>
      </w:pPr>
      <w:r>
        <w:t xml:space="preserve">Se excluyeron las filas 141 y 142, que duplican a la 144 y la 145. También se excluyó la fila 133 ("C3 – Construcción de software"), que es un marcador vacío de 1 día.</w:t>
      </w:r>
    </w:p>
    <w:p>
      <w:pPr>
        <w:pStyle w:val="ListParagraph"/>
        <w:numPr>
          <w:ilvl w:val="0"/>
          <w:numId w:val="5"/>
        </w:numPr>
      </w:pPr>
      <w:r>
        <w:t xml:space="preserve">El sistema de cada actividad se tomó de la columna personalizada "Sistema" y el estado, de la columna "Estado UCP". Las fechas de corte para atrasos son las del 21/10/2026.</w:t>
      </w:r>
    </w:p>
    <w:p>
      <w:pPr>
        <w:pStyle w:val="ListParagraph"/>
        <w:numPr>
          <w:ilvl w:val="0"/>
          <w:numId w:val="5"/>
        </w:numPr>
      </w:pPr>
      <w:r>
        <w:t xml:space="preserve">Las brechas se expresan en días calendario.</w:t>
      </w:r>
    </w:p>
    <w:p>
      <w:pPr/>
      <w:r>
        <w:rPr>
          <w:b/>
        </w:rPr>
        <w:t xml:space="preserve">Limitaciones que condicionan las conclusiones: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No hay dependencias documentadas.</w:t>
      </w:r>
      <w:r>
        <w:t xml:space="preserve"> Ninguna de las 374 filas tiene predecesoras. Por eso, todas las dependencias del Cuadro 3 son </w:t>
      </w:r>
      <w:r>
        <w:rPr>
          <w:b/>
        </w:rPr>
        <w:t xml:space="preserve">dependencias funcionales propuestas que requieren validación</w:t>
      </w:r>
      <w:r>
        <w:t xml:space="preserve"> de los CAF y de la Coordinación.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Programación manual.</w:t>
      </w:r>
      <w:r>
        <w:t xml:space="preserve"> 304 de 307 actividades están en modo manual. Las fechas no se recalculan si una predecesora se mueve.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Sin línea base ni fecha de estado.</w:t>
      </w:r>
      <w:r>
        <w:t xml:space="preserve"> No se puede medir la variación entre lo planificado y lo real.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El cronograma mide el diseño funcional (MFD, componente C1).</w:t>
      </w:r>
      <w:r>
        <w:t xml:space="preserve"> La construcción del software (C3) no está programada. Por tanto, "fecha disponible" significa aquí la fecha prevista del MFD, no la puesta en producción (criterio confirmado el 22/10/2026).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Restricciones:</w:t>
      </w:r>
      <w:r>
        <w:t xml:space="preserve"> solo tres tareas tienen restricción. Las filas 165 y 170 tienen "No finalizar antes del 29/01/2027" y la fila 169, "No comenzar antes del 15/12/2026".</w:t>
      </w:r>
    </w:p>
    <w:p>
      <w:pPr>
        <w:pStyle w:val="Heading2"/>
      </w:pPr>
      <w:r>
        <w:t xml:space="preserve">3. Estructura del cronograma y sistemas</w:t>
      </w:r>
    </w:p>
    <w:p>
      <w:pPr/>
      <w:r>
        <w:t xml:space="preserve">Los siete sistemas aparecen con estas denominaciones en la columna "Sistema": Presupuesto, Inversiones, Abastecimiento, GFRH, Tesorería, Endeudamiento y Contabilidad. El cronograma se organiza en seis niveles: Proyecto AFSP (1) → bloque o macroproceso (1.1–1.5) → módulo → proceso → subproceso → procedimiento. Los niveles 5 y 6 solo existen en Endeudamiento. Además, hay un bloque de Aplicativos de uso común (9 actividades, sin sistema asignado), concluido al 100 % el 20/04/2026.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66"/>
        <w:gridCol w:w="1820"/>
        <w:gridCol w:w="2100"/>
        <w:gridCol w:w="1834"/>
        <w:gridCol w:w="1740"/>
      </w:tblGrid>
      <w:tr>
        <w:trPr>
          <w:tblHeader/>
        </w:trPr>
        <w:tc>
          <w:tcPr>
            <w:tcW w:w="1866" w:type="dxa"/>
            <w:shd w:val="clear" w:color="auto" w:fill="F2F2F2"/>
          </w:tcPr>
          <w:p>
            <w:pPr/>
            <w:r>
              <w:t xml:space="preserve">Sistema</w:t>
            </w:r>
          </w:p>
        </w:tc>
        <w:tc>
          <w:tcPr>
            <w:tcW w:w="1820" w:type="dxa"/>
            <w:shd w:val="clear" w:color="auto" w:fill="F2F2F2"/>
          </w:tcPr>
          <w:p>
            <w:pPr/>
            <w:r>
              <w:t xml:space="preserve">Programación (módulos)</w:t>
            </w:r>
          </w:p>
        </w:tc>
        <w:tc>
          <w:tcPr>
            <w:tcW w:w="2100" w:type="dxa"/>
            <w:shd w:val="clear" w:color="auto" w:fill="F2F2F2"/>
          </w:tcPr>
          <w:p>
            <w:pPr/>
            <w:r>
              <w:t xml:space="preserve">Gestión (módulos)</w:t>
            </w:r>
          </w:p>
        </w:tc>
        <w:tc>
          <w:tcPr>
            <w:tcW w:w="1834" w:type="dxa"/>
            <w:shd w:val="clear" w:color="auto" w:fill="F2F2F2"/>
          </w:tcPr>
          <w:p>
            <w:pPr/>
            <w:r>
              <w:t xml:space="preserve">Evaluación (módulos)</w:t>
            </w:r>
          </w:p>
        </w:tc>
        <w:tc>
          <w:tcPr>
            <w:tcW w:w="1740" w:type="dxa"/>
            <w:shd w:val="clear" w:color="auto" w:fill="F2F2F2"/>
          </w:tcPr>
          <w:p>
            <w:pPr/>
            <w:r>
              <w:t xml:space="preserve">Clasificadores y Catálogos (actividades)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Presupuesto</w:t>
            </w:r>
          </w:p>
        </w:tc>
        <w:tc>
          <w:tcPr>
            <w:tcW w:w="1820" w:type="dxa"/>
          </w:tcPr>
          <w:p>
            <w:pPr/>
            <w:r>
              <w:t xml:space="preserve">Programación multianual presupuestaria; Formulación y aprobación</w:t>
            </w:r>
          </w:p>
        </w:tc>
        <w:tc>
          <w:tcPr>
            <w:tcW w:w="2100" w:type="dxa"/>
          </w:tcPr>
          <w:p>
            <w:pPr/>
            <w:r>
              <w:t xml:space="preserve">Apertura del ejercicio; Programación de la ejecución; Modificaciones; Ejecución presupuestaria</w:t>
            </w:r>
          </w:p>
        </w:tc>
        <w:tc>
          <w:tcPr>
            <w:tcW w:w="1834" w:type="dxa"/>
          </w:tcPr>
          <w:p>
            <w:pPr/>
            <w:r>
              <w:t xml:space="preserve">Evaluación presupuestaria</w:t>
            </w:r>
          </w:p>
        </w:tc>
        <w:tc>
          <w:tcPr>
            <w:tcW w:w="1740" w:type="dxa"/>
          </w:tcPr>
          <w:p>
            <w:pPr/>
            <w:r>
              <w:t xml:space="preserve">55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Inversiones</w:t>
            </w:r>
          </w:p>
        </w:tc>
        <w:tc>
          <w:tcPr>
            <w:tcW w:w="1820" w:type="dxa"/>
          </w:tcPr>
          <w:p>
            <w:pPr/>
            <w:r>
              <w:t xml:space="preserve">Programación de inversiones SNPMGI</w:t>
            </w:r>
          </w:p>
        </w:tc>
        <w:tc>
          <w:tcPr>
            <w:tcW w:w="2100" w:type="dxa"/>
          </w:tcPr>
          <w:p>
            <w:pPr/>
            <w:r>
              <w:t xml:space="preserve">Gestión administrativa de inversiones</w:t>
            </w:r>
          </w:p>
        </w:tc>
        <w:tc>
          <w:tcPr>
            <w:tcW w:w="1834" w:type="dxa"/>
          </w:tcPr>
          <w:p>
            <w:pPr/>
            <w:r>
              <w:t xml:space="preserve">Gestión administrativa de inversiones (seguimiento, ex post, sostenibilidad)</w:t>
            </w:r>
          </w:p>
        </w:tc>
        <w:tc>
          <w:tcPr>
            <w:tcW w:w="1740" w:type="dxa"/>
          </w:tcPr>
          <w:p>
            <w:pPr/>
            <w:r>
              <w:t xml:space="preserve">2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Abastecimiento</w:t>
            </w:r>
          </w:p>
        </w:tc>
        <w:tc>
          <w:tcPr>
            <w:tcW w:w="1820" w:type="dxa"/>
          </w:tcPr>
          <w:p>
            <w:pPr/>
            <w:r>
              <w:t xml:space="preserve">Programación multianual de bienes, servicios y obras</w:t>
            </w:r>
          </w:p>
        </w:tc>
        <w:tc>
          <w:tcPr>
            <w:tcW w:w="2100" w:type="dxa"/>
          </w:tcPr>
          <w:p>
            <w:pPr/>
            <w:r>
              <w:t xml:space="preserve">Adquisiciones y otras formas de obtención; Almacén; Bienes, propiedad, planta y equipo</w:t>
            </w:r>
          </w:p>
        </w:tc>
        <w:tc>
          <w:tcPr>
            <w:tcW w:w="1834" w:type="dxa"/>
          </w:tcPr>
          <w:p>
            <w:pPr/>
            <w:r>
              <w:t xml:space="preserve">—</w:t>
            </w:r>
          </w:p>
        </w:tc>
        <w:tc>
          <w:tcPr>
            <w:tcW w:w="1740" w:type="dxa"/>
          </w:tcPr>
          <w:p>
            <w:pPr/>
            <w:r>
              <w:t xml:space="preserve">9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GFRH</w:t>
            </w:r>
          </w:p>
        </w:tc>
        <w:tc>
          <w:tcPr>
            <w:tcW w:w="1820" w:type="dxa"/>
          </w:tcPr>
          <w:p>
            <w:pPr/>
            <w:r>
              <w:t xml:space="preserve">Programación y formulación del presupuesto de ingresos del personal</w:t>
            </w:r>
          </w:p>
        </w:tc>
        <w:tc>
          <w:tcPr>
            <w:tcW w:w="2100" w:type="dxa"/>
          </w:tcPr>
          <w:p>
            <w:pPr/>
            <w:r>
              <w:t xml:space="preserve">Gestión de ingresos del personal; Planillas del sector público</w:t>
            </w:r>
          </w:p>
        </w:tc>
        <w:tc>
          <w:tcPr>
            <w:tcW w:w="1834" w:type="dxa"/>
          </w:tcPr>
          <w:p>
            <w:pPr/>
            <w:r>
              <w:t xml:space="preserve">—</w:t>
            </w:r>
          </w:p>
        </w:tc>
        <w:tc>
          <w:tcPr>
            <w:tcW w:w="1740" w:type="dxa"/>
          </w:tcPr>
          <w:p>
            <w:pPr/>
            <w:r>
              <w:t xml:space="preserve">6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Tesorería</w:t>
            </w:r>
          </w:p>
        </w:tc>
        <w:tc>
          <w:tcPr>
            <w:tcW w:w="1820" w:type="dxa"/>
          </w:tcPr>
          <w:p>
            <w:pPr/>
            <w:r>
              <w:t xml:space="preserve">Planeación financiera</w:t>
            </w:r>
          </w:p>
        </w:tc>
        <w:tc>
          <w:tcPr>
            <w:tcW w:w="2100" w:type="dxa"/>
          </w:tcPr>
          <w:p>
            <w:pPr/>
            <w:r>
              <w:t xml:space="preserve">Gestión de ingresos; Gestión de pagos; Gestión de liquidez</w:t>
            </w:r>
          </w:p>
        </w:tc>
        <w:tc>
          <w:tcPr>
            <w:tcW w:w="1834" w:type="dxa"/>
          </w:tcPr>
          <w:p>
            <w:pPr/>
            <w:r>
              <w:t xml:space="preserve">—</w:t>
            </w:r>
          </w:p>
        </w:tc>
        <w:tc>
          <w:tcPr>
            <w:tcW w:w="1740" w:type="dxa"/>
          </w:tcPr>
          <w:p>
            <w:pPr/>
            <w:r>
              <w:t xml:space="preserve">17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Endeudamiento</w:t>
            </w:r>
          </w:p>
        </w:tc>
        <w:tc>
          <w:tcPr>
            <w:tcW w:w="1820" w:type="dxa"/>
          </w:tcPr>
          <w:p>
            <w:pPr/>
            <w:r>
              <w:t xml:space="preserve">Programación de desembolsos y pago de obligaciones de deuda (PMEyPO)</w:t>
            </w:r>
          </w:p>
        </w:tc>
        <w:tc>
          <w:tcPr>
            <w:tcW w:w="2100" w:type="dxa"/>
          </w:tcPr>
          <w:p>
            <w:pPr/>
            <w:r>
              <w:t xml:space="preserve">Endeudamiento primera etapa (6 módulos); segunda etapa (7 módulos)</w:t>
            </w:r>
          </w:p>
        </w:tc>
        <w:tc>
          <w:tcPr>
            <w:tcW w:w="1834" w:type="dxa"/>
          </w:tcPr>
          <w:p>
            <w:pPr/>
            <w:r>
              <w:t xml:space="preserve">—</w:t>
            </w:r>
          </w:p>
        </w:tc>
        <w:tc>
          <w:tcPr>
            <w:tcW w:w="1740" w:type="dxa"/>
          </w:tcPr>
          <w:p>
            <w:pPr/>
            <w:r>
              <w:t xml:space="preserve">16</w:t>
            </w:r>
          </w:p>
        </w:tc>
      </w:tr>
      <w:tr>
        <w:tc>
          <w:tcPr>
            <w:tcW w:w="1866" w:type="dxa"/>
          </w:tcPr>
          <w:p>
            <w:pPr/>
            <w:r>
              <w:t xml:space="preserve">Contabilidad</w:t>
            </w:r>
          </w:p>
        </w:tc>
        <w:tc>
          <w:tcPr>
            <w:tcW w:w="1820" w:type="dxa"/>
          </w:tcPr>
          <w:p>
            <w:pPr/>
            <w:r>
              <w:t xml:space="preserve">—</w:t>
            </w:r>
          </w:p>
        </w:tc>
        <w:tc>
          <w:tcPr>
            <w:tcW w:w="2100" w:type="dxa"/>
          </w:tcPr>
          <w:p>
            <w:pPr/>
            <w:r>
              <w:t xml:space="preserve">Servicios de contabilización</w:t>
            </w:r>
          </w:p>
        </w:tc>
        <w:tc>
          <w:tcPr>
            <w:tcW w:w="1834" w:type="dxa"/>
          </w:tcPr>
          <w:p>
            <w:pPr/>
            <w:r>
              <w:t xml:space="preserve">Servicios de contabilización (cierres, estados, consolidación, Cuenta General)</w:t>
            </w:r>
          </w:p>
        </w:tc>
        <w:tc>
          <w:tcPr>
            <w:tcW w:w="1740" w:type="dxa"/>
          </w:tcPr>
          <w:p>
            <w:pPr/>
            <w:r>
              <w:t xml:space="preserve">12</w:t>
            </w:r>
          </w:p>
        </w:tc>
      </w:tr>
    </w:tbl>
    <w:p>
      <w:pPr/>
      <w:r>
        <w:rPr>
          <w:b/>
        </w:rPr>
        <w:t xml:space="preserve">Observaciones de estructura:</w:t>
      </w:r>
    </w:p>
    <w:p>
      <w:pPr>
        <w:pStyle w:val="ListParagraph"/>
        <w:numPr>
          <w:ilvl w:val="0"/>
          <w:numId w:val="7"/>
        </w:numPr>
      </w:pPr>
      <w:r>
        <w:t xml:space="preserve">Cuatro sistemas (Abastecimiento, GFRH, Tesorería y Endeudamiento) no tienen procesos en el Macroproceso de Evaluación. Endeudamiento ubica sus "Estadísticas de deuda" en Gestión. Contabilidad no tiene procesos de Programación, lo cual es coherente con su naturaleza.</w:t>
      </w:r>
    </w:p>
    <w:p>
      <w:pPr>
        <w:pStyle w:val="ListParagraph"/>
        <w:numPr>
          <w:ilvl w:val="0"/>
          <w:numId w:val="7"/>
        </w:numPr>
      </w:pPr>
      <w:r>
        <w:t xml:space="preserve">Hay registros duplicados o con titular doble. "Formulación" y "Aprobación" aparecen en dos módulos (filas 141–142 y 144–145, con avance distinto: 0 % y 5 %). El "Catálogo de procesos de contratación" figura dos veces (filas 69 y 75). "Organismos financiadores" (Tesorería, fila 126) y "Clasificador de Acreedores" (Endeudamiento, fila 85) se refieren mutuamente con la palabra "antes".</w:t>
      </w:r>
    </w:p>
    <w:p>
      <w:pPr>
        <w:pStyle w:val="ListParagraph"/>
        <w:numPr>
          <w:ilvl w:val="0"/>
          <w:numId w:val="7"/>
        </w:numPr>
      </w:pPr>
      <w:r>
        <w:t xml:space="preserve">La columna "Estado UCP" no es consistente con el avance. 51 catálogos al 100 % dicen "MFD por crear en Administrador de Catálogo". Las filas 138, 144 y 168 dicen "Sin iniciar" con avance entre 5 % y 47 %. La fila 47 está al 100 % con fin el 28/12/2026 y estado "MFD en elaboración". La fila 81 se llama "&lt;Tarea nueva&gt;".</w:t>
      </w:r>
    </w:p>
    <w:p>
      <w:pPr>
        <w:pStyle w:val="ListParagraph"/>
        <w:numPr>
          <w:ilvl w:val="0"/>
          <w:numId w:val="7"/>
        </w:numPr>
      </w:pPr>
      <w:r>
        <w:t xml:space="preserve">Algunas tareas resumen distorsionan la lectura. El "Módulo de Gestión de almacén" abarca del 01/10/2025 al 11/12/2029 porque incluye el Inventario masivo ya concluido (2025–2026). Su trabajo pendiente se concentra en 2029.</w:t>
      </w:r>
    </w:p>
    <w:p>
      <w:pPr>
        <w:pStyle w:val="Heading2"/>
      </w:pPr>
      <w:r>
        <w:t xml:space="preserve">4. Análisis de fechas</w:t>
      </w:r>
    </w:p>
    <w:p>
      <w:pPr/>
      <w:r>
        <w:t xml:space="preserve">Clasificadores y Catálogos está casi concluido (92 %), pero Gestión y Evaluación apenas empiezan (12 %). La integración se decidirá entre 2027 y 2028. Las fechas salen de las actividades operativas; el porcentaje es el avance ponderado por duración.</w:t>
      </w:r>
    </w:p>
    <w:p>
      <w:pPr/>
      <w:r>
        <w:rPr>
          <w:b/>
        </w:rPr>
        <w:t xml:space="preserve">Cuadro 1. Matriz consolidada de fechas por sistema y macroproceso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424"/>
        <w:gridCol w:w="1476"/>
        <w:gridCol w:w="1560"/>
        <w:gridCol w:w="178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Sistema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Programación: inicio / fin (avance)</w:t>
            </w:r>
          </w:p>
        </w:tc>
        <w:tc>
          <w:tcPr>
            <w:tcW w:w="1424" w:type="dxa"/>
            <w:shd w:val="clear" w:color="auto" w:fill="F2F2F2"/>
          </w:tcPr>
          <w:p>
            <w:pPr/>
            <w:r>
              <w:t xml:space="preserve">Gestión: inicio / fin (avance)</w:t>
            </w:r>
          </w:p>
        </w:tc>
        <w:tc>
          <w:tcPr>
            <w:tcW w:w="1476" w:type="dxa"/>
            <w:shd w:val="clear" w:color="auto" w:fill="F2F2F2"/>
          </w:tcPr>
          <w:p>
            <w:pPr/>
            <w:r>
              <w:t xml:space="preserve">Evaluación: inicio / fin (avance)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Clasificadores y Catálogos: inicio / fin (avance)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Estado de integración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Presupuesto</w:t>
            </w:r>
          </w:p>
        </w:tc>
        <w:tc>
          <w:tcPr>
            <w:tcW w:w="1560" w:type="dxa"/>
          </w:tcPr>
          <w:p>
            <w:pPr/>
            <w:r>
              <w:t xml:space="preserve">07/09/2026 / 15/06/2027 (12 %)</w:t>
            </w:r>
          </w:p>
        </w:tc>
        <w:tc>
          <w:tcPr>
            <w:tcW w:w="1424" w:type="dxa"/>
          </w:tcPr>
          <w:p>
            <w:pPr/>
            <w:r>
              <w:t xml:space="preserve">22/03/2027 / 22/11/2027 (0 %)</w:t>
            </w:r>
          </w:p>
        </w:tc>
        <w:tc>
          <w:tcPr>
            <w:tcW w:w="1476" w:type="dxa"/>
          </w:tcPr>
          <w:p>
            <w:pPr/>
            <w:r>
              <w:t xml:space="preserve">04/10/2027 / 24/03/2028 (0 %)</w:t>
            </w:r>
          </w:p>
        </w:tc>
        <w:tc>
          <w:tcPr>
            <w:tcW w:w="1560" w:type="dxa"/>
          </w:tcPr>
          <w:p>
            <w:pPr/>
            <w:r>
              <w:t xml:space="preserve">13/10/2023 / 31/03/2027 (89 %)</w:t>
            </w:r>
          </w:p>
        </w:tc>
        <w:tc>
          <w:tcPr>
            <w:tcW w:w="1780" w:type="dxa"/>
          </w:tcPr>
          <w:p>
            <w:pPr/>
            <w:r>
              <w:t xml:space="preserve">Con brechas: metas y clasificadores terminan después de la Formulación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Inversiones</w:t>
            </w:r>
          </w:p>
        </w:tc>
        <w:tc>
          <w:tcPr>
            <w:tcW w:w="1560" w:type="dxa"/>
          </w:tcPr>
          <w:p>
            <w:pPr/>
            <w:r>
              <w:t xml:space="preserve">22/12/2025 / 30/06/2027 (47 %)</w:t>
            </w:r>
          </w:p>
        </w:tc>
        <w:tc>
          <w:tcPr>
            <w:tcW w:w="1424" w:type="dxa"/>
          </w:tcPr>
          <w:p>
            <w:pPr/>
            <w:r>
              <w:t xml:space="preserve">04/01/2027 / 30/08/2027 (0 %)</w:t>
            </w:r>
          </w:p>
        </w:tc>
        <w:tc>
          <w:tcPr>
            <w:tcW w:w="1476" w:type="dxa"/>
          </w:tcPr>
          <w:p>
            <w:pPr/>
            <w:r>
              <w:t xml:space="preserve">01/08/2027 / 29/01/2028 (0 %)</w:t>
            </w:r>
          </w:p>
        </w:tc>
        <w:tc>
          <w:tcPr>
            <w:tcW w:w="1560" w:type="dxa"/>
          </w:tcPr>
          <w:p>
            <w:pPr/>
            <w:r>
              <w:t xml:space="preserve">14/08/2026 / 22/01/2027 (22 %)</w:t>
            </w:r>
          </w:p>
        </w:tc>
        <w:tc>
          <w:tcPr>
            <w:tcW w:w="1780" w:type="dxa"/>
          </w:tcPr>
          <w:p>
            <w:pPr/>
            <w:r>
              <w:t xml:space="preserve">En riesgo: PMI en StandBy y formulación de proyectos después de la Formulación presupuestaria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Abastecimiento</w:t>
            </w:r>
          </w:p>
        </w:tc>
        <w:tc>
          <w:tcPr>
            <w:tcW w:w="1560" w:type="dxa"/>
          </w:tcPr>
          <w:p>
            <w:pPr/>
            <w:r>
              <w:t xml:space="preserve">14/09/2026 / 13/05/2027 (44 %)</w:t>
            </w:r>
          </w:p>
        </w:tc>
        <w:tc>
          <w:tcPr>
            <w:tcW w:w="1424" w:type="dxa"/>
          </w:tcPr>
          <w:p>
            <w:pPr/>
            <w:r>
              <w:t xml:space="preserve">01/10/2025 / 11/12/2029 (13 %)</w:t>
            </w:r>
          </w:p>
        </w:tc>
        <w:tc>
          <w:tcPr>
            <w:tcW w:w="1476" w:type="dxa"/>
          </w:tcPr>
          <w:p>
            <w:pPr/>
            <w:r>
              <w:t xml:space="preserve">Sin procesos</w:t>
            </w:r>
          </w:p>
        </w:tc>
        <w:tc>
          <w:tcPr>
            <w:tcW w:w="1560" w:type="dxa"/>
          </w:tcPr>
          <w:p>
            <w:pPr/>
            <w:r>
              <w:t xml:space="preserve">16/10/2023 / 16/06/2026 (100 %)</w:t>
            </w:r>
          </w:p>
        </w:tc>
        <w:tc>
          <w:tcPr>
            <w:tcW w:w="1780" w:type="dxa"/>
          </w:tcPr>
          <w:p>
            <w:pPr/>
            <w:r>
              <w:t xml:space="preserve">Desalineado: OC/OS y Conformidad después de la Ejecución de gastos de bienes y servicios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GFRH</w:t>
            </w:r>
          </w:p>
        </w:tc>
        <w:tc>
          <w:tcPr>
            <w:tcW w:w="1560" w:type="dxa"/>
          </w:tcPr>
          <w:p>
            <w:pPr/>
            <w:r>
              <w:t xml:space="preserve">15/09/2025 / 11/06/2026 (100 %)</w:t>
            </w:r>
          </w:p>
        </w:tc>
        <w:tc>
          <w:tcPr>
            <w:tcW w:w="1424" w:type="dxa"/>
          </w:tcPr>
          <w:p>
            <w:pPr/>
            <w:r>
              <w:t xml:space="preserve">27/10/2025 / 30/09/2026 (100 %)</w:t>
            </w:r>
          </w:p>
        </w:tc>
        <w:tc>
          <w:tcPr>
            <w:tcW w:w="1476" w:type="dxa"/>
          </w:tcPr>
          <w:p>
            <w:pPr/>
            <w:r>
              <w:t xml:space="preserve">Sin procesos</w:t>
            </w:r>
          </w:p>
        </w:tc>
        <w:tc>
          <w:tcPr>
            <w:tcW w:w="1560" w:type="dxa"/>
          </w:tcPr>
          <w:p>
            <w:pPr/>
            <w:r>
              <w:t xml:space="preserve">24/11/2025 / 28/12/2026 (70 %)</w:t>
            </w:r>
          </w:p>
        </w:tc>
        <w:tc>
          <w:tcPr>
            <w:tcW w:w="1780" w:type="dxa"/>
          </w:tcPr>
          <w:p>
            <w:pPr/>
            <w:r>
              <w:t xml:space="preserve">Adelantado: su integración con Ejecución y Pagos no se podrá probar hasta 2027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Tesorería</w:t>
            </w:r>
          </w:p>
        </w:tc>
        <w:tc>
          <w:tcPr>
            <w:tcW w:w="1560" w:type="dxa"/>
          </w:tcPr>
          <w:p>
            <w:pPr/>
            <w:r>
              <w:t xml:space="preserve">16/03/2026 / 31/05/2028 (43 %)</w:t>
            </w:r>
          </w:p>
        </w:tc>
        <w:tc>
          <w:tcPr>
            <w:tcW w:w="1424" w:type="dxa"/>
          </w:tcPr>
          <w:p>
            <w:pPr/>
            <w:r>
              <w:t xml:space="preserve">24/07/2026 / 31/05/2028 (9 %)</w:t>
            </w:r>
          </w:p>
        </w:tc>
        <w:tc>
          <w:tcPr>
            <w:tcW w:w="1476" w:type="dxa"/>
          </w:tcPr>
          <w:p>
            <w:pPr/>
            <w:r>
              <w:t xml:space="preserve">Sin procesos</w:t>
            </w:r>
          </w:p>
        </w:tc>
        <w:tc>
          <w:tcPr>
            <w:tcW w:w="1560" w:type="dxa"/>
          </w:tcPr>
          <w:p>
            <w:pPr/>
            <w:r>
              <w:t xml:space="preserve">18/09/2023 / 31/08/2026 (100 %)</w:t>
            </w:r>
          </w:p>
        </w:tc>
        <w:tc>
          <w:tcPr>
            <w:tcW w:w="1780" w:type="dxa"/>
          </w:tcPr>
          <w:p>
            <w:pPr/>
            <w:r>
              <w:t xml:space="preserve">Crítico: cuota de pago programada después de la Gestión de pagos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Endeudamiento</w:t>
            </w:r>
          </w:p>
        </w:tc>
        <w:tc>
          <w:tcPr>
            <w:tcW w:w="1560" w:type="dxa"/>
          </w:tcPr>
          <w:p>
            <w:pPr/>
            <w:r>
              <w:t xml:space="preserve">01/07/2026 / 29/01/2027 (57 %)</w:t>
            </w:r>
          </w:p>
        </w:tc>
        <w:tc>
          <w:tcPr>
            <w:tcW w:w="1424" w:type="dxa"/>
          </w:tcPr>
          <w:p>
            <w:pPr/>
            <w:r>
              <w:t xml:space="preserve">01/12/2026 / 28/12/2029 (0 %)</w:t>
            </w:r>
          </w:p>
        </w:tc>
        <w:tc>
          <w:tcPr>
            <w:tcW w:w="1476" w:type="dxa"/>
          </w:tcPr>
          <w:p>
            <w:pPr/>
            <w:r>
              <w:t xml:space="preserve">Sin procesos</w:t>
            </w:r>
          </w:p>
        </w:tc>
        <w:tc>
          <w:tcPr>
            <w:tcW w:w="1560" w:type="dxa"/>
          </w:tcPr>
          <w:p>
            <w:pPr/>
            <w:r>
              <w:t xml:space="preserve">18/09/2023 / 31/12/2026 (97 %)</w:t>
            </w:r>
          </w:p>
        </w:tc>
        <w:tc>
          <w:tcPr>
            <w:tcW w:w="1780" w:type="dxa"/>
          </w:tcPr>
          <w:p>
            <w:pPr/>
            <w:r>
              <w:t xml:space="preserve">Brecha menor con la Formulación (10 días); fija el fin del proyecto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Contabilidad</w:t>
            </w:r>
          </w:p>
        </w:tc>
        <w:tc>
          <w:tcPr>
            <w:tcW w:w="1560" w:type="dxa"/>
          </w:tcPr>
          <w:p>
            <w:pPr/>
            <w:r>
              <w:t xml:space="preserve">Sin procesos</w:t>
            </w:r>
          </w:p>
        </w:tc>
        <w:tc>
          <w:tcPr>
            <w:tcW w:w="1424" w:type="dxa"/>
          </w:tcPr>
          <w:p>
            <w:pPr/>
            <w:r>
              <w:t xml:space="preserve">29/10/2025 / 22/09/2028 (72 %)</w:t>
            </w:r>
          </w:p>
        </w:tc>
        <w:tc>
          <w:tcPr>
            <w:tcW w:w="1476" w:type="dxa"/>
          </w:tcPr>
          <w:p>
            <w:pPr/>
            <w:r>
              <w:t xml:space="preserve">13/03/2026 / 16/09/2028 (18 %)</w:t>
            </w:r>
          </w:p>
        </w:tc>
        <w:tc>
          <w:tcPr>
            <w:tcW w:w="1560" w:type="dxa"/>
          </w:tcPr>
          <w:p>
            <w:pPr/>
            <w:r>
              <w:t xml:space="preserve">11/09/2023 / 21/10/2027 (94 %)</w:t>
            </w:r>
          </w:p>
        </w:tc>
        <w:tc>
          <w:tcPr>
            <w:tcW w:w="1780" w:type="dxa"/>
          </w:tcPr>
          <w:p>
            <w:pPr/>
            <w:r>
              <w:t xml:space="preserve">Secuencia invertida: Evaluación antes que la Gestión de otros sistemas</w:t>
            </w:r>
          </w:p>
        </w:tc>
      </w:tr>
    </w:tbl>
    <w:p>
      <w:pPr/>
      <w:r>
        <w:rPr>
          <w:b/>
        </w:rPr>
        <w:t xml:space="preserve">Cuadro 2. Fechas extremas por macroproceso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40"/>
        <w:gridCol w:w="1424"/>
        <w:gridCol w:w="1852"/>
        <w:gridCol w:w="1621"/>
        <w:gridCol w:w="2723"/>
      </w:tblGrid>
      <w:tr>
        <w:trPr>
          <w:tblHeader/>
        </w:trPr>
        <w:tc>
          <w:tcPr>
            <w:tcW w:w="1740" w:type="dxa"/>
            <w:shd w:val="clear" w:color="auto" w:fill="F2F2F2"/>
          </w:tcPr>
          <w:p>
            <w:pPr/>
            <w:r>
              <w:t xml:space="preserve">Macroproceso</w:t>
            </w:r>
          </w:p>
        </w:tc>
        <w:tc>
          <w:tcPr>
            <w:tcW w:w="1424" w:type="dxa"/>
            <w:shd w:val="clear" w:color="auto" w:fill="F2F2F2"/>
          </w:tcPr>
          <w:p>
            <w:pPr/>
            <w:r>
              <w:t xml:space="preserve">Inicio más temprano</w:t>
            </w:r>
          </w:p>
        </w:tc>
        <w:tc>
          <w:tcPr>
            <w:tcW w:w="1852" w:type="dxa"/>
            <w:shd w:val="clear" w:color="auto" w:fill="F2F2F2"/>
          </w:tcPr>
          <w:p>
            <w:pPr/>
            <w:r>
              <w:t xml:space="preserve">Fin más tardío</w:t>
            </w:r>
          </w:p>
        </w:tc>
        <w:tc>
          <w:tcPr>
            <w:tcW w:w="1621" w:type="dxa"/>
            <w:shd w:val="clear" w:color="auto" w:fill="F2F2F2"/>
          </w:tcPr>
          <w:p>
            <w:pPr/>
            <w:r>
              <w:t xml:space="preserve">Sistemas involucrados</w:t>
            </w:r>
          </w:p>
        </w:tc>
        <w:tc>
          <w:tcPr>
            <w:tcW w:w="2723" w:type="dxa"/>
            <w:shd w:val="clear" w:color="auto" w:fill="F2F2F2"/>
          </w:tcPr>
          <w:p>
            <w:pPr/>
            <w:r>
              <w:t xml:space="preserve">Observaciones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Clasificadores y Catálogos</w:t>
            </w:r>
          </w:p>
        </w:tc>
        <w:tc>
          <w:tcPr>
            <w:tcW w:w="1424" w:type="dxa"/>
          </w:tcPr>
          <w:p>
            <w:pPr/>
            <w:r>
              <w:t xml:space="preserve">11/09/2023</w:t>
            </w:r>
          </w:p>
        </w:tc>
        <w:tc>
          <w:tcPr>
            <w:tcW w:w="1852" w:type="dxa"/>
          </w:tcPr>
          <w:p>
            <w:pPr/>
            <w:r>
              <w:t xml:space="preserve">21/10/2027</w:t>
            </w:r>
          </w:p>
        </w:tc>
        <w:tc>
          <w:tcPr>
            <w:tcW w:w="1621" w:type="dxa"/>
          </w:tcPr>
          <w:p>
            <w:pPr/>
            <w:r>
              <w:t xml:space="preserve">Los siete</w:t>
            </w:r>
          </w:p>
        </w:tc>
        <w:tc>
          <w:tcPr>
            <w:tcW w:w="2723" w:type="dxa"/>
          </w:tcPr>
          <w:p>
            <w:pPr/>
            <w:r>
              <w:t xml:space="preserve">117 actividades, 92 %. Lo pendiente es sobre todo de Presupuesto (Formulación 2027) y los catálogos de consolidación contable.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Programación</w:t>
            </w:r>
          </w:p>
        </w:tc>
        <w:tc>
          <w:tcPr>
            <w:tcW w:w="1424" w:type="dxa"/>
          </w:tcPr>
          <w:p>
            <w:pPr/>
            <w:r>
              <w:t xml:space="preserve">15/09/2025</w:t>
            </w:r>
          </w:p>
        </w:tc>
        <w:tc>
          <w:tcPr>
            <w:tcW w:w="1852" w:type="dxa"/>
          </w:tcPr>
          <w:p>
            <w:pPr/>
            <w:r>
              <w:t xml:space="preserve">31/05/2028</w:t>
            </w:r>
          </w:p>
        </w:tc>
        <w:tc>
          <w:tcPr>
            <w:tcW w:w="1621" w:type="dxa"/>
          </w:tcPr>
          <w:p>
            <w:pPr/>
            <w:r>
              <w:t xml:space="preserve">Seis (todos menos Contabilidad)</w:t>
            </w:r>
          </w:p>
        </w:tc>
        <w:tc>
          <w:tcPr>
            <w:tcW w:w="2723" w:type="dxa"/>
          </w:tcPr>
          <w:p>
            <w:pPr/>
            <w:r>
              <w:t xml:space="preserve">26 actividades, 44 %. El fin lo fija la cuota de pago de Tesorería. Sin ella, Programación terminaría el 30/06/2027.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Gestión</w:t>
            </w:r>
          </w:p>
        </w:tc>
        <w:tc>
          <w:tcPr>
            <w:tcW w:w="1424" w:type="dxa"/>
          </w:tcPr>
          <w:p>
            <w:pPr/>
            <w:r>
              <w:t xml:space="preserve">01/10/2025</w:t>
            </w:r>
          </w:p>
        </w:tc>
        <w:tc>
          <w:tcPr>
            <w:tcW w:w="1852" w:type="dxa"/>
          </w:tcPr>
          <w:p>
            <w:pPr/>
            <w:r>
              <w:t xml:space="preserve">28/12/2029</w:t>
            </w:r>
          </w:p>
        </w:tc>
        <w:tc>
          <w:tcPr>
            <w:tcW w:w="1621" w:type="dxa"/>
          </w:tcPr>
          <w:p>
            <w:pPr/>
            <w:r>
              <w:t xml:space="preserve">Los siete</w:t>
            </w:r>
          </w:p>
        </w:tc>
        <w:tc>
          <w:tcPr>
            <w:tcW w:w="2723" w:type="dxa"/>
          </w:tcPr>
          <w:p>
            <w:pPr/>
            <w:r>
              <w:t xml:space="preserve">133 actividades, 12 %. Endeudamiento aporta 59 de ellas (44 %) y define el fin con el "Registro manual de cronograma de servicio" (fila 296).</w:t>
            </w:r>
          </w:p>
        </w:tc>
      </w:tr>
      <w:tr>
        <w:tc>
          <w:tcPr>
            <w:tcW w:w="1740" w:type="dxa"/>
          </w:tcPr>
          <w:p>
            <w:pPr/>
            <w:r>
              <w:t xml:space="preserve">Evaluación</w:t>
            </w:r>
          </w:p>
        </w:tc>
        <w:tc>
          <w:tcPr>
            <w:tcW w:w="1424" w:type="dxa"/>
          </w:tcPr>
          <w:p>
            <w:pPr/>
            <w:r>
              <w:t xml:space="preserve">13/03/2026</w:t>
            </w:r>
          </w:p>
        </w:tc>
        <w:tc>
          <w:tcPr>
            <w:tcW w:w="1852" w:type="dxa"/>
          </w:tcPr>
          <w:p>
            <w:pPr/>
            <w:r>
              <w:t xml:space="preserve">16/09/2028</w:t>
            </w:r>
          </w:p>
        </w:tc>
        <w:tc>
          <w:tcPr>
            <w:tcW w:w="1621" w:type="dxa"/>
          </w:tcPr>
          <w:p>
            <w:pPr/>
            <w:r>
              <w:t xml:space="preserve">Contabilidad, Inversiones y Presupuesto</w:t>
            </w:r>
          </w:p>
        </w:tc>
        <w:tc>
          <w:tcPr>
            <w:tcW w:w="2723" w:type="dxa"/>
          </w:tcPr>
          <w:p>
            <w:pPr/>
            <w:r>
              <w:t xml:space="preserve">22 actividades, 12 %. Termina 468 días antes que Gestión. Lo que Endeudamiento y Abastecimiento diseñen en 2029 no tiene evaluación prevista.</w:t>
            </w:r>
          </w:p>
        </w:tc>
      </w:tr>
    </w:tbl>
    <w:p>
      <w:pPr/>
      <w:r>
        <w:rPr>
          <w:b/>
        </w:rPr>
        <w:t xml:space="preserve">Implicancias: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Programación y Gestión se solapan en todos los sistemas</w:t>
      </w:r>
      <w:r>
        <w:t xml:space="preserve">, con excepción de GFRH. Eso es viable si la integración es progresiva, pero solo funciona si se documenta qué entregable parcial habilita a cada proceso receptor.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El ciclo presupuestario 2027 es el punto de convergencia.</w:t>
      </w:r>
      <w:r>
        <w:t xml:space="preserve"> Formulación (14/10/2026–19/01/2027) y Aprobación (16/11/2026–05/02/2027) dependen de insumos de Presupuesto, Inversiones, Tesorería y Endeudamiento que terminan después.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El tramo 2028–2029 queda fuera del ciclo de integración.</w:t>
      </w:r>
      <w:r>
        <w:t xml:space="preserve"> Endeudamiento (segunda etapa) y Abastecimiento (almacén y regímenes especiales) se diseñan después de la última actualización del motor contable y del fin de Evaluación.</w:t>
      </w:r>
    </w:p>
    <w:p>
      <w:pPr>
        <w:pStyle w:val="Heading2"/>
      </w:pPr>
      <w:r>
        <w:t xml:space="preserve">5. Dependencias funcionales y temporales</w:t>
      </w:r>
    </w:p>
    <w:p>
      <w:pPr/>
      <w:r>
        <w:t xml:space="preserve">De 22 dependencias identificadas, 3 tienen riesgo crítico y 8 riesgo alto. Ninguna está registrada en el .mpp: </w:t>
      </w:r>
      <w:r>
        <w:rPr>
          <w:b/>
        </w:rPr>
        <w:t xml:space="preserve">todas son dependencias funcionales propuestas que requieren validación</w:t>
      </w:r>
      <w:r>
        <w:t xml:space="preserve">.</w:t>
      </w:r>
    </w:p>
    <w:p>
      <w:pPr/>
      <w:r>
        <w:t xml:space="preserve">Cómo leer el cuadro:</w:t>
      </w:r>
    </w:p>
    <w:p>
      <w:pPr>
        <w:pStyle w:val="ListParagraph"/>
        <w:numPr>
          <w:ilvl w:val="0"/>
          <w:numId w:val="9"/>
        </w:numPr>
      </w:pPr>
      <w:r>
        <w:t xml:space="preserve">La </w:t>
      </w:r>
      <w:r>
        <w:rPr>
          <w:b/>
        </w:rPr>
        <w:t xml:space="preserve">fecha requerida</w:t>
      </w:r>
      <w:r>
        <w:t xml:space="preserve"> es el inicio del proceso receptor. Cuando el entregable se necesita para cerrar el diseño del receptor, se usa su fin; en ese caso se indica "(fin)".</w:t>
      </w:r>
    </w:p>
    <w:p>
      <w:pPr>
        <w:pStyle w:val="ListParagraph"/>
        <w:numPr>
          <w:ilvl w:val="0"/>
          <w:numId w:val="9"/>
        </w:numPr>
      </w:pPr>
      <w:r>
        <w:t xml:space="preserve">La </w:t>
      </w:r>
      <w:r>
        <w:rPr>
          <w:b/>
        </w:rPr>
        <w:t xml:space="preserve">fecha disponible</w:t>
      </w:r>
      <w:r>
        <w:t xml:space="preserve"> es el fin del proceso origen.</w:t>
      </w:r>
    </w:p>
    <w:p>
      <w:pPr>
        <w:pStyle w:val="ListParagraph"/>
        <w:numPr>
          <w:ilvl w:val="0"/>
          <w:numId w:val="9"/>
        </w:numPr>
      </w:pPr>
      <w:r>
        <w:t xml:space="preserve">La </w:t>
      </w:r>
      <w:r>
        <w:rPr>
          <w:b/>
        </w:rPr>
        <w:t xml:space="preserve">brecha</w:t>
      </w:r>
      <w:r>
        <w:t xml:space="preserve"> es la disponible menos la requerida. Un valor positivo es un atraso; uno negativo es holgura.</w:t>
      </w:r>
    </w:p>
    <w:p>
      <w:pPr>
        <w:pStyle w:val="ListParagraph"/>
        <w:numPr>
          <w:ilvl w:val="0"/>
          <w:numId w:val="9"/>
        </w:numPr>
      </w:pPr>
      <w:r>
        <w:t xml:space="preserve">Las filas del .mpp van entre paréntesis.</w:t>
      </w:r>
    </w:p>
    <w:p>
      <w:pPr/>
      <w:r>
        <w:rPr>
          <w:b/>
        </w:rPr>
        <w:t xml:space="preserve">Cuadro 3. Matriz de dependencias funcionales y temporales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936"/>
        <w:gridCol w:w="1087"/>
        <w:gridCol w:w="936"/>
        <w:gridCol w:w="936"/>
        <w:gridCol w:w="1001"/>
        <w:gridCol w:w="936"/>
        <w:gridCol w:w="936"/>
        <w:gridCol w:w="936"/>
        <w:gridCol w:w="93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N.º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Sistema origen</w:t>
            </w:r>
          </w:p>
        </w:tc>
        <w:tc>
          <w:tcPr>
            <w:tcW w:w="1087" w:type="dxa"/>
            <w:shd w:val="clear" w:color="auto" w:fill="F2F2F2"/>
          </w:tcPr>
          <w:p>
            <w:pPr/>
            <w:r>
              <w:t xml:space="preserve">Macroproceso / proceso origen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Entregable requerido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Sistema destino</w:t>
            </w:r>
          </w:p>
        </w:tc>
        <w:tc>
          <w:tcPr>
            <w:tcW w:w="1001" w:type="dxa"/>
            <w:shd w:val="clear" w:color="auto" w:fill="F2F2F2"/>
          </w:tcPr>
          <w:p>
            <w:pPr/>
            <w:r>
              <w:t xml:space="preserve">Macroproceso / proceso dependiente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Fecha requerida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Fecha disponible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Brecha (días)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Riesgo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</w:t>
            </w:r>
          </w:p>
        </w:tc>
        <w:tc>
          <w:tcPr>
            <w:tcW w:w="936" w:type="dxa"/>
          </w:tcPr>
          <w:p>
            <w:pPr/>
            <w:r>
              <w:t xml:space="preserve">Tesorería</w:t>
            </w:r>
          </w:p>
        </w:tc>
        <w:tc>
          <w:tcPr>
            <w:tcW w:w="1087" w:type="dxa"/>
          </w:tcPr>
          <w:p>
            <w:pPr/>
            <w:r>
              <w:t xml:space="preserve">Programación: Asignación de pago y Flujos de caja diarios (162–163)</w:t>
            </w:r>
          </w:p>
        </w:tc>
        <w:tc>
          <w:tcPr>
            <w:tcW w:w="936" w:type="dxa"/>
          </w:tcPr>
          <w:p>
            <w:pPr/>
            <w:r>
              <w:t xml:space="preserve">Cuota de pago y cronograma de pagos</w:t>
            </w:r>
          </w:p>
        </w:tc>
        <w:tc>
          <w:tcPr>
            <w:tcW w:w="936" w:type="dxa"/>
          </w:tcPr>
          <w:p>
            <w:pPr/>
            <w:r>
              <w:t xml:space="preserve">Tesorería</w:t>
            </w:r>
          </w:p>
        </w:tc>
        <w:tc>
          <w:tcPr>
            <w:tcW w:w="1001" w:type="dxa"/>
          </w:tcPr>
          <w:p>
            <w:pPr/>
            <w:r>
              <w:t xml:space="preserve">Gestión: Gestión de pagos (232, 234, 236)</w:t>
            </w:r>
          </w:p>
        </w:tc>
        <w:tc>
          <w:tcPr>
            <w:tcW w:w="936" w:type="dxa"/>
          </w:tcPr>
          <w:p>
            <w:pPr/>
            <w:r>
              <w:t xml:space="preserve">20/04/2027</w:t>
            </w:r>
          </w:p>
        </w:tc>
        <w:tc>
          <w:tcPr>
            <w:tcW w:w="936" w:type="dxa"/>
          </w:tcPr>
          <w:p>
            <w:pPr/>
            <w:r>
              <w:t xml:space="preserve">31/05/2028</w:t>
            </w:r>
          </w:p>
        </w:tc>
        <w:tc>
          <w:tcPr>
            <w:tcW w:w="936" w:type="dxa"/>
          </w:tcPr>
          <w:p>
            <w:pPr/>
            <w:r>
              <w:t xml:space="preserve">+407</w:t>
            </w:r>
          </w:p>
        </w:tc>
        <w:tc>
          <w:tcPr>
            <w:tcW w:w="936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D2</w:t>
            </w:r>
          </w:p>
        </w:tc>
        <w:tc>
          <w:tcPr>
            <w:tcW w:w="936" w:type="dxa"/>
          </w:tcPr>
          <w:p>
            <w:pPr/>
            <w:r>
              <w:t xml:space="preserve">Abastecimiento</w:t>
            </w:r>
          </w:p>
        </w:tc>
        <w:tc>
          <w:tcPr>
            <w:tcW w:w="1087" w:type="dxa"/>
          </w:tcPr>
          <w:p>
            <w:pPr/>
            <w:r>
              <w:t xml:space="preserve">Gestión: Generación de contrato, OC y OS (196)</w:t>
            </w:r>
          </w:p>
        </w:tc>
        <w:tc>
          <w:tcPr>
            <w:tcW w:w="936" w:type="dxa"/>
          </w:tcPr>
          <w:p>
            <w:pPr/>
            <w:r>
              <w:t xml:space="preserve">Documento de compromiso (contrato u orden)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01" w:type="dxa"/>
          </w:tcPr>
          <w:p>
            <w:pPr/>
            <w:r>
              <w:t xml:space="preserve">Gestión: Ejecución de gastos de bienes, servicios y obras (181)</w:t>
            </w:r>
          </w:p>
        </w:tc>
        <w:tc>
          <w:tcPr>
            <w:tcW w:w="936" w:type="dxa"/>
          </w:tcPr>
          <w:p>
            <w:pPr/>
            <w:r>
              <w:t xml:space="preserve">01/06/2027</w:t>
            </w:r>
          </w:p>
        </w:tc>
        <w:tc>
          <w:tcPr>
            <w:tcW w:w="936" w:type="dxa"/>
          </w:tcPr>
          <w:p>
            <w:pPr/>
            <w:r>
              <w:t xml:space="preserve">01/10/2027</w:t>
            </w:r>
          </w:p>
        </w:tc>
        <w:tc>
          <w:tcPr>
            <w:tcW w:w="936" w:type="dxa"/>
          </w:tcPr>
          <w:p>
            <w:pPr/>
            <w:r>
              <w:t xml:space="preserve">+122</w:t>
            </w:r>
          </w:p>
        </w:tc>
        <w:tc>
          <w:tcPr>
            <w:tcW w:w="936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D3</w:t>
            </w:r>
          </w:p>
        </w:tc>
        <w:tc>
          <w:tcPr>
            <w:tcW w:w="936" w:type="dxa"/>
          </w:tcPr>
          <w:p>
            <w:pPr/>
            <w:r>
              <w:t xml:space="preserve">Abastecimiento</w:t>
            </w:r>
          </w:p>
        </w:tc>
        <w:tc>
          <w:tcPr>
            <w:tcW w:w="1087" w:type="dxa"/>
          </w:tcPr>
          <w:p>
            <w:pPr/>
            <w:r>
              <w:t xml:space="preserve">Gestión: Conformidad (197)</w:t>
            </w:r>
          </w:p>
        </w:tc>
        <w:tc>
          <w:tcPr>
            <w:tcW w:w="936" w:type="dxa"/>
          </w:tcPr>
          <w:p>
            <w:pPr/>
            <w:r>
              <w:t xml:space="preserve">Conformidad para el devengado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01" w:type="dxa"/>
          </w:tcPr>
          <w:p>
            <w:pPr/>
            <w:r>
              <w:t xml:space="preserve">Gestión: Ejecución de gastos de bienes, servicios y obras (181)</w:t>
            </w:r>
          </w:p>
        </w:tc>
        <w:tc>
          <w:tcPr>
            <w:tcW w:w="936" w:type="dxa"/>
          </w:tcPr>
          <w:p>
            <w:pPr/>
            <w:r>
              <w:t xml:space="preserve">31/07/2027 (fin)</w:t>
            </w:r>
          </w:p>
        </w:tc>
        <w:tc>
          <w:tcPr>
            <w:tcW w:w="936" w:type="dxa"/>
          </w:tcPr>
          <w:p>
            <w:pPr/>
            <w:r>
              <w:t xml:space="preserve">07/01/2028</w:t>
            </w:r>
          </w:p>
        </w:tc>
        <w:tc>
          <w:tcPr>
            <w:tcW w:w="936" w:type="dxa"/>
          </w:tcPr>
          <w:p>
            <w:pPr/>
            <w:r>
              <w:t xml:space="preserve">+160</w:t>
            </w:r>
          </w:p>
        </w:tc>
        <w:tc>
          <w:tcPr>
            <w:tcW w:w="936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D4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87" w:type="dxa"/>
          </w:tcPr>
          <w:p>
            <w:pPr/>
            <w:r>
              <w:t xml:space="preserve">Gestión: Ejecución presupuestaria y Modificaciones (177, 180)</w:t>
            </w:r>
          </w:p>
        </w:tc>
        <w:tc>
          <w:tcPr>
            <w:tcW w:w="936" w:type="dxa"/>
          </w:tcPr>
          <w:p>
            <w:pPr/>
            <w:r>
              <w:t xml:space="preserve">Ejecución y modificaciones del año</w:t>
            </w:r>
          </w:p>
        </w:tc>
        <w:tc>
          <w:tcPr>
            <w:tcW w:w="936" w:type="dxa"/>
          </w:tcPr>
          <w:p>
            <w:pPr/>
            <w:r>
              <w:t xml:space="preserve">Contabilidad</w:t>
            </w:r>
          </w:p>
        </w:tc>
        <w:tc>
          <w:tcPr>
            <w:tcW w:w="1001" w:type="dxa"/>
          </w:tcPr>
          <w:p>
            <w:pPr/>
            <w:r>
              <w:t xml:space="preserve">Evaluación: Estados presupuestales y Cierre presupuestario (359–360)</w:t>
            </w:r>
          </w:p>
        </w:tc>
        <w:tc>
          <w:tcPr>
            <w:tcW w:w="936" w:type="dxa"/>
          </w:tcPr>
          <w:p>
            <w:pPr/>
            <w:r>
              <w:t xml:space="preserve">01/10/2026</w:t>
            </w:r>
          </w:p>
        </w:tc>
        <w:tc>
          <w:tcPr>
            <w:tcW w:w="936" w:type="dxa"/>
          </w:tcPr>
          <w:p>
            <w:pPr/>
            <w:r>
              <w:t xml:space="preserve">22/11/2027</w:t>
            </w:r>
          </w:p>
        </w:tc>
        <w:tc>
          <w:tcPr>
            <w:tcW w:w="936" w:type="dxa"/>
          </w:tcPr>
          <w:p>
            <w:pPr/>
            <w:r>
              <w:t xml:space="preserve">+417</w:t>
            </w:r>
          </w:p>
        </w:tc>
        <w:tc>
          <w:tcPr>
            <w:tcW w:w="936" w:type="dxa"/>
          </w:tcPr>
          <w:p>
            <w:pPr/>
            <w:r>
              <w:t xml:space="preserve">Alto (salvo que se use el SIAF-SP)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D5</w:t>
            </w:r>
          </w:p>
        </w:tc>
        <w:tc>
          <w:tcPr>
            <w:tcW w:w="936" w:type="dxa"/>
          </w:tcPr>
          <w:p>
            <w:pPr/>
            <w:r>
              <w:t xml:space="preserve">Presupuesto, Tesorería y Endeudamiento</w:t>
            </w:r>
          </w:p>
        </w:tc>
        <w:tc>
          <w:tcPr>
            <w:tcW w:w="1087" w:type="dxa"/>
          </w:tcPr>
          <w:p>
            <w:pPr/>
            <w:r>
              <w:t xml:space="preserve">Gestión: Ejecución, pagos y operaciones de deuda</w:t>
            </w:r>
          </w:p>
        </w:tc>
        <w:tc>
          <w:tcPr>
            <w:tcW w:w="936" w:type="dxa"/>
          </w:tcPr>
          <w:p>
            <w:pPr/>
            <w:r>
              <w:t xml:space="preserve">Transacciones que generan asientos</w:t>
            </w:r>
          </w:p>
        </w:tc>
        <w:tc>
          <w:tcPr>
            <w:tcW w:w="936" w:type="dxa"/>
          </w:tcPr>
          <w:p>
            <w:pPr/>
            <w:r>
              <w:t xml:space="preserve">Contabilidad</w:t>
            </w:r>
          </w:p>
        </w:tc>
        <w:tc>
          <w:tcPr>
            <w:tcW w:w="1001" w:type="dxa"/>
          </w:tcPr>
          <w:p>
            <w:pPr/>
            <w:r>
              <w:t xml:space="preserve">Evaluación: Integrar información contable y Estados financieros (355, 358)</w:t>
            </w:r>
          </w:p>
        </w:tc>
        <w:tc>
          <w:tcPr>
            <w:tcW w:w="936" w:type="dxa"/>
          </w:tcPr>
          <w:p>
            <w:pPr/>
            <w:r>
              <w:t xml:space="preserve">08/02/2027</w:t>
            </w:r>
          </w:p>
        </w:tc>
        <w:tc>
          <w:tcPr>
            <w:tcW w:w="936" w:type="dxa"/>
          </w:tcPr>
          <w:p>
            <w:pPr/>
            <w:r>
              <w:t xml:space="preserve">22/11/2027</w:t>
            </w:r>
          </w:p>
        </w:tc>
        <w:tc>
          <w:tcPr>
            <w:tcW w:w="936" w:type="dxa"/>
          </w:tcPr>
          <w:p>
            <w:pPr/>
            <w:r>
              <w:t xml:space="preserve">+287</w:t>
            </w:r>
          </w:p>
        </w:tc>
        <w:tc>
          <w:tcPr>
            <w:tcW w:w="936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D6</w:t>
            </w:r>
          </w:p>
        </w:tc>
        <w:tc>
          <w:tcPr>
            <w:tcW w:w="936" w:type="dxa"/>
          </w:tcPr>
          <w:p>
            <w:pPr/>
            <w:r>
              <w:t xml:space="preserve">Siete sistemas</w:t>
            </w:r>
          </w:p>
        </w:tc>
        <w:tc>
          <w:tcPr>
            <w:tcW w:w="1087" w:type="dxa"/>
          </w:tcPr>
          <w:p>
            <w:pPr/>
            <w:r>
              <w:t xml:space="preserve">Gestión: procesos de 2028–2029 (Endeudamiento etapa 2, almacén, regímenes especiales)</w:t>
            </w:r>
          </w:p>
        </w:tc>
        <w:tc>
          <w:tcPr>
            <w:tcW w:w="936" w:type="dxa"/>
          </w:tcPr>
          <w:p>
            <w:pPr/>
            <w:r>
              <w:t xml:space="preserve">Eventos contables nuevos</w:t>
            </w:r>
          </w:p>
        </w:tc>
        <w:tc>
          <w:tcPr>
            <w:tcW w:w="936" w:type="dxa"/>
          </w:tcPr>
          <w:p>
            <w:pPr/>
            <w:r>
              <w:t xml:space="preserve">Contabilidad</w:t>
            </w:r>
          </w:p>
        </w:tc>
        <w:tc>
          <w:tcPr>
            <w:tcW w:w="1001" w:type="dxa"/>
          </w:tcPr>
          <w:p>
            <w:pPr/>
            <w:r>
              <w:t xml:space="preserve">Gestión: Actualización 2 de Catálogo de Eventos y Motor (347)</w:t>
            </w:r>
          </w:p>
        </w:tc>
        <w:tc>
          <w:tcPr>
            <w:tcW w:w="936" w:type="dxa"/>
          </w:tcPr>
          <w:p>
            <w:pPr/>
            <w:r>
              <w:t xml:space="preserve">28/12/2029 (fin del diseño)</w:t>
            </w:r>
          </w:p>
        </w:tc>
        <w:tc>
          <w:tcPr>
            <w:tcW w:w="936" w:type="dxa"/>
          </w:tcPr>
          <w:p>
            <w:pPr/>
            <w:r>
              <w:t xml:space="preserve">22/09/2028</w:t>
            </w:r>
          </w:p>
        </w:tc>
        <w:tc>
          <w:tcPr>
            <w:tcW w:w="936" w:type="dxa"/>
          </w:tcPr>
          <w:p>
            <w:pPr/>
            <w:r>
              <w:t xml:space="preserve">462 días sin cobertura</w:t>
            </w:r>
          </w:p>
        </w:tc>
        <w:tc>
          <w:tcPr>
            <w:tcW w:w="936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D7</w:t>
            </w:r>
          </w:p>
        </w:tc>
        <w:tc>
          <w:tcPr>
            <w:tcW w:w="936" w:type="dxa"/>
          </w:tcPr>
          <w:p>
            <w:pPr/>
            <w:r>
              <w:t xml:space="preserve">Inversiones</w:t>
            </w:r>
          </w:p>
        </w:tc>
        <w:tc>
          <w:tcPr>
            <w:tcW w:w="1087" w:type="dxa"/>
          </w:tcPr>
          <w:p>
            <w:pPr/>
            <w:r>
              <w:t xml:space="preserve">Programación: Formulación multianual del presupuesto de cada proyecto (150)</w:t>
            </w:r>
          </w:p>
        </w:tc>
        <w:tc>
          <w:tcPr>
            <w:tcW w:w="936" w:type="dxa"/>
          </w:tcPr>
          <w:p>
            <w:pPr/>
            <w:r>
              <w:t xml:space="preserve">Presupuesto por proyecto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01" w:type="dxa"/>
          </w:tcPr>
          <w:p>
            <w:pPr/>
            <w:r>
              <w:t xml:space="preserve">Programación: Formulación del presupuesto (144)</w:t>
            </w:r>
          </w:p>
        </w:tc>
        <w:tc>
          <w:tcPr>
            <w:tcW w:w="936" w:type="dxa"/>
          </w:tcPr>
          <w:p>
            <w:pPr/>
            <w:r>
              <w:t xml:space="preserve">19/01/2027 (fin)</w:t>
            </w:r>
          </w:p>
        </w:tc>
        <w:tc>
          <w:tcPr>
            <w:tcW w:w="936" w:type="dxa"/>
          </w:tcPr>
          <w:p>
            <w:pPr/>
            <w:r>
              <w:t xml:space="preserve">30/06/2027</w:t>
            </w:r>
          </w:p>
        </w:tc>
        <w:tc>
          <w:tcPr>
            <w:tcW w:w="936" w:type="dxa"/>
          </w:tcPr>
          <w:p>
            <w:pPr/>
            <w:r>
              <w:t xml:space="preserve">+162</w:t>
            </w:r>
          </w:p>
        </w:tc>
        <w:tc>
          <w:tcPr>
            <w:tcW w:w="936" w:type="dxa"/>
          </w:tcPr>
          <w:p>
            <w:pPr/>
            <w:r>
              <w:t xml:space="preserve">Alto (confirmar ciclo)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D8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87" w:type="dxa"/>
          </w:tcPr>
          <w:p>
            <w:pPr/>
            <w:r>
              <w:t xml:space="preserve">Programación: Administrador de Metas (140)</w:t>
            </w:r>
          </w:p>
        </w:tc>
        <w:tc>
          <w:tcPr>
            <w:tcW w:w="936" w:type="dxa"/>
          </w:tcPr>
          <w:p>
            <w:pPr/>
            <w:r>
              <w:t xml:space="preserve">Metas presupuestarias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01" w:type="dxa"/>
          </w:tcPr>
          <w:p>
            <w:pPr/>
            <w:r>
              <w:t xml:space="preserve">Programación: Formulación del presupuesto (144)</w:t>
            </w:r>
          </w:p>
        </w:tc>
        <w:tc>
          <w:tcPr>
            <w:tcW w:w="936" w:type="dxa"/>
          </w:tcPr>
          <w:p>
            <w:pPr/>
            <w:r>
              <w:t xml:space="preserve">19/01/2027 (fin)</w:t>
            </w:r>
          </w:p>
        </w:tc>
        <w:tc>
          <w:tcPr>
            <w:tcW w:w="936" w:type="dxa"/>
          </w:tcPr>
          <w:p>
            <w:pPr/>
            <w:r>
              <w:t xml:space="preserve">22/03/2027</w:t>
            </w:r>
          </w:p>
        </w:tc>
        <w:tc>
          <w:tcPr>
            <w:tcW w:w="936" w:type="dxa"/>
          </w:tcPr>
          <w:p>
            <w:pPr/>
            <w:r>
              <w:t xml:space="preserve">+62</w:t>
            </w:r>
          </w:p>
        </w:tc>
        <w:tc>
          <w:tcPr>
            <w:tcW w:w="936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D9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87" w:type="dxa"/>
          </w:tcPr>
          <w:p>
            <w:pPr/>
            <w:r>
              <w:t xml:space="preserve">Catálogos: Clasificadores de Cambio Climático y Pueblos Indígenas (49–50)</w:t>
            </w:r>
          </w:p>
        </w:tc>
        <w:tc>
          <w:tcPr>
            <w:tcW w:w="936" w:type="dxa"/>
          </w:tcPr>
          <w:p>
            <w:pPr/>
            <w:r>
              <w:t xml:space="preserve">Clasificadores temáticos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01" w:type="dxa"/>
          </w:tcPr>
          <w:p>
            <w:pPr/>
            <w:r>
              <w:t xml:space="preserve">Programación: Formulación (144)</w:t>
            </w:r>
          </w:p>
        </w:tc>
        <w:tc>
          <w:tcPr>
            <w:tcW w:w="936" w:type="dxa"/>
          </w:tcPr>
          <w:p>
            <w:pPr/>
            <w:r>
              <w:t xml:space="preserve">19/01/2027 (fin)</w:t>
            </w:r>
          </w:p>
        </w:tc>
        <w:tc>
          <w:tcPr>
            <w:tcW w:w="936" w:type="dxa"/>
          </w:tcPr>
          <w:p>
            <w:pPr/>
            <w:r>
              <w:t xml:space="preserve">31/03/2027</w:t>
            </w:r>
          </w:p>
        </w:tc>
        <w:tc>
          <w:tcPr>
            <w:tcW w:w="936" w:type="dxa"/>
          </w:tcPr>
          <w:p>
            <w:pPr/>
            <w:r>
              <w:t xml:space="preserve">+44 a +71</w:t>
            </w:r>
          </w:p>
        </w:tc>
        <w:tc>
          <w:tcPr>
            <w:tcW w:w="936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D10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87" w:type="dxa"/>
          </w:tcPr>
          <w:p>
            <w:pPr/>
            <w:r>
              <w:t xml:space="preserve">Catálogos versión 2 y Relación Actividad por Finalidad (128–132)</w:t>
            </w:r>
          </w:p>
        </w:tc>
        <w:tc>
          <w:tcPr>
            <w:tcW w:w="936" w:type="dxa"/>
          </w:tcPr>
          <w:p>
            <w:pPr/>
            <w:r>
              <w:t xml:space="preserve">Estructura programática 2027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01" w:type="dxa"/>
          </w:tcPr>
          <w:p>
            <w:pPr/>
            <w:r>
              <w:t xml:space="preserve">Programación: Formulación (144)</w:t>
            </w:r>
          </w:p>
        </w:tc>
        <w:tc>
          <w:tcPr>
            <w:tcW w:w="936" w:type="dxa"/>
          </w:tcPr>
          <w:p>
            <w:pPr/>
            <w:r>
              <w:t xml:space="preserve">19/01/2027 (fin)</w:t>
            </w:r>
          </w:p>
        </w:tc>
        <w:tc>
          <w:tcPr>
            <w:tcW w:w="936" w:type="dxa"/>
          </w:tcPr>
          <w:p>
            <w:pPr/>
            <w:r>
              <w:t xml:space="preserve">05/03/2027</w:t>
            </w:r>
          </w:p>
        </w:tc>
        <w:tc>
          <w:tcPr>
            <w:tcW w:w="936" w:type="dxa"/>
          </w:tcPr>
          <w:p>
            <w:pPr/>
            <w:r>
              <w:t xml:space="preserve">+6 a +45</w:t>
            </w:r>
          </w:p>
        </w:tc>
        <w:tc>
          <w:tcPr>
            <w:tcW w:w="936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D11</w:t>
            </w:r>
          </w:p>
        </w:tc>
        <w:tc>
          <w:tcPr>
            <w:tcW w:w="936" w:type="dxa"/>
          </w:tcPr>
          <w:p>
            <w:pPr/>
            <w:r>
              <w:t xml:space="preserve">Inversiones</w:t>
            </w:r>
          </w:p>
        </w:tc>
        <w:tc>
          <w:tcPr>
            <w:tcW w:w="1087" w:type="dxa"/>
          </w:tcPr>
          <w:p>
            <w:pPr/>
            <w:r>
              <w:t xml:space="preserve">Programación: Elaboración de la PMI y PMIE (147, StandBy, 62 %)</w:t>
            </w:r>
          </w:p>
        </w:tc>
        <w:tc>
          <w:tcPr>
            <w:tcW w:w="936" w:type="dxa"/>
          </w:tcPr>
          <w:p>
            <w:pPr/>
            <w:r>
              <w:t xml:space="preserve">Programa multianual de inversiones</w:t>
            </w:r>
          </w:p>
        </w:tc>
        <w:tc>
          <w:tcPr>
            <w:tcW w:w="936" w:type="dxa"/>
          </w:tcPr>
          <w:p>
            <w:pPr/>
            <w:r>
              <w:t xml:space="preserve">Inversiones</w:t>
            </w:r>
          </w:p>
        </w:tc>
        <w:tc>
          <w:tcPr>
            <w:tcW w:w="1001" w:type="dxa"/>
          </w:tcPr>
          <w:p>
            <w:pPr/>
            <w:r>
              <w:t xml:space="preserve">Programación: Registro de estructura del proyecto (149)</w:t>
            </w:r>
          </w:p>
        </w:tc>
        <w:tc>
          <w:tcPr>
            <w:tcW w:w="936" w:type="dxa"/>
          </w:tcPr>
          <w:p>
            <w:pPr/>
            <w:r>
              <w:t xml:space="preserve">01/12/2026</w:t>
            </w:r>
          </w:p>
        </w:tc>
        <w:tc>
          <w:tcPr>
            <w:tcW w:w="936" w:type="dxa"/>
          </w:tcPr>
          <w:p>
            <w:pPr/>
            <w:r>
              <w:t xml:space="preserve">30/11/2026</w:t>
            </w:r>
          </w:p>
        </w:tc>
        <w:tc>
          <w:tcPr>
            <w:tcW w:w="936" w:type="dxa"/>
          </w:tcPr>
          <w:p>
            <w:pPr/>
            <w:r>
              <w:t xml:space="preserve">−1</w:t>
            </w:r>
          </w:p>
        </w:tc>
        <w:tc>
          <w:tcPr>
            <w:tcW w:w="936" w:type="dxa"/>
          </w:tcPr>
          <w:p>
            <w:pPr/>
            <w:r>
              <w:t xml:space="preserve">Alto (StandBy)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D12</w:t>
            </w:r>
          </w:p>
        </w:tc>
        <w:tc>
          <w:tcPr>
            <w:tcW w:w="936" w:type="dxa"/>
          </w:tcPr>
          <w:p>
            <w:pPr/>
            <w:r>
              <w:t xml:space="preserve">Endeudamiento</w:t>
            </w:r>
          </w:p>
        </w:tc>
        <w:tc>
          <w:tcPr>
            <w:tcW w:w="1087" w:type="dxa"/>
          </w:tcPr>
          <w:p>
            <w:pPr/>
            <w:r>
              <w:t xml:space="preserve">Gestión: Compromiso y devengado del servicio de deuda (269)</w:t>
            </w:r>
          </w:p>
        </w:tc>
        <w:tc>
          <w:tcPr>
            <w:tcW w:w="936" w:type="dxa"/>
          </w:tcPr>
          <w:p>
            <w:pPr/>
            <w:r>
              <w:t xml:space="preserve">Instrucciones de pago de deuda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01" w:type="dxa"/>
          </w:tcPr>
          <w:p>
            <w:pPr/>
            <w:r>
              <w:t xml:space="preserve">Gestión: Ejecución de gastos de operaciones de endeudamiento (186)</w:t>
            </w:r>
          </w:p>
        </w:tc>
        <w:tc>
          <w:tcPr>
            <w:tcW w:w="936" w:type="dxa"/>
          </w:tcPr>
          <w:p>
            <w:pPr/>
            <w:r>
              <w:t xml:space="preserve">15/10/2027 (fin)</w:t>
            </w:r>
          </w:p>
        </w:tc>
        <w:tc>
          <w:tcPr>
            <w:tcW w:w="936" w:type="dxa"/>
          </w:tcPr>
          <w:p>
            <w:pPr/>
            <w:r>
              <w:t xml:space="preserve">25/11/2027</w:t>
            </w:r>
          </w:p>
        </w:tc>
        <w:tc>
          <w:tcPr>
            <w:tcW w:w="936" w:type="dxa"/>
          </w:tcPr>
          <w:p>
            <w:pPr/>
            <w:r>
              <w:t xml:space="preserve">+41</w:t>
            </w:r>
          </w:p>
        </w:tc>
        <w:tc>
          <w:tcPr>
            <w:tcW w:w="936" w:type="dxa"/>
          </w:tcPr>
          <w:p>
            <w:pPr/>
            <w:r>
              <w:t xml:space="preserve">Medio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D13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87" w:type="dxa"/>
          </w:tcPr>
          <w:p>
            <w:pPr/>
            <w:r>
              <w:t xml:space="preserve">Gestión: Ejecución presupuestaria (180)</w:t>
            </w:r>
          </w:p>
        </w:tc>
        <w:tc>
          <w:tcPr>
            <w:tcW w:w="936" w:type="dxa"/>
          </w:tcPr>
          <w:p>
            <w:pPr/>
            <w:r>
              <w:t xml:space="preserve">Ejecución del gasto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01" w:type="dxa"/>
          </w:tcPr>
          <w:p>
            <w:pPr/>
            <w:r>
              <w:t xml:space="preserve">Evaluación: Seguimiento de metas físicas y financieras (366–367)</w:t>
            </w:r>
          </w:p>
        </w:tc>
        <w:tc>
          <w:tcPr>
            <w:tcW w:w="936" w:type="dxa"/>
          </w:tcPr>
          <w:p>
            <w:pPr/>
            <w:r>
              <w:t xml:space="preserve">04/10/2027</w:t>
            </w:r>
          </w:p>
        </w:tc>
        <w:tc>
          <w:tcPr>
            <w:tcW w:w="936" w:type="dxa"/>
          </w:tcPr>
          <w:p>
            <w:pPr/>
            <w:r>
              <w:t xml:space="preserve">22/11/2027</w:t>
            </w:r>
          </w:p>
        </w:tc>
        <w:tc>
          <w:tcPr>
            <w:tcW w:w="936" w:type="dxa"/>
          </w:tcPr>
          <w:p>
            <w:pPr/>
            <w:r>
              <w:t xml:space="preserve">+49</w:t>
            </w:r>
          </w:p>
        </w:tc>
        <w:tc>
          <w:tcPr>
            <w:tcW w:w="936" w:type="dxa"/>
          </w:tcPr>
          <w:p>
            <w:pPr/>
            <w:r>
              <w:t xml:space="preserve">Medio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D14</w:t>
            </w:r>
          </w:p>
        </w:tc>
        <w:tc>
          <w:tcPr>
            <w:tcW w:w="936" w:type="dxa"/>
          </w:tcPr>
          <w:p>
            <w:pPr/>
            <w:r>
              <w:t xml:space="preserve">Endeudamiento / Inversiones</w:t>
            </w:r>
          </w:p>
        </w:tc>
        <w:tc>
          <w:tcPr>
            <w:tcW w:w="1087" w:type="dxa"/>
          </w:tcPr>
          <w:p>
            <w:pPr/>
            <w:r>
              <w:t xml:space="preserve">Catálogos: Catálogo relacional Deuda Inversión (82, "Por actualizar")</w:t>
            </w:r>
          </w:p>
        </w:tc>
        <w:tc>
          <w:tcPr>
            <w:tcW w:w="936" w:type="dxa"/>
          </w:tcPr>
          <w:p>
            <w:pPr/>
            <w:r>
              <w:t xml:space="preserve">Relación deuda–proyecto</w:t>
            </w:r>
          </w:p>
        </w:tc>
        <w:tc>
          <w:tcPr>
            <w:tcW w:w="936" w:type="dxa"/>
          </w:tcPr>
          <w:p>
            <w:pPr/>
            <w:r>
              <w:t xml:space="preserve">Inversiones y Endeudamiento</w:t>
            </w:r>
          </w:p>
        </w:tc>
        <w:tc>
          <w:tcPr>
            <w:tcW w:w="1001" w:type="dxa"/>
          </w:tcPr>
          <w:p>
            <w:pPr/>
            <w:r>
              <w:t xml:space="preserve">Registro de estructura del proyecto (149); Concertación (256)</w:t>
            </w:r>
          </w:p>
        </w:tc>
        <w:tc>
          <w:tcPr>
            <w:tcW w:w="936" w:type="dxa"/>
          </w:tcPr>
          <w:p>
            <w:pPr/>
            <w:r>
              <w:t xml:space="preserve">01/12/2026</w:t>
            </w:r>
          </w:p>
        </w:tc>
        <w:tc>
          <w:tcPr>
            <w:tcW w:w="936" w:type="dxa"/>
          </w:tcPr>
          <w:p>
            <w:pPr/>
            <w:r>
              <w:t xml:space="preserve">31/12/2026</w:t>
            </w:r>
          </w:p>
        </w:tc>
        <w:tc>
          <w:tcPr>
            <w:tcW w:w="936" w:type="dxa"/>
          </w:tcPr>
          <w:p>
            <w:pPr/>
            <w:r>
              <w:t xml:space="preserve">+30</w:t>
            </w:r>
          </w:p>
        </w:tc>
        <w:tc>
          <w:tcPr>
            <w:tcW w:w="936" w:type="dxa"/>
          </w:tcPr>
          <w:p>
            <w:pPr/>
            <w:r>
              <w:t xml:space="preserve">Medio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D15</w:t>
            </w:r>
          </w:p>
        </w:tc>
        <w:tc>
          <w:tcPr>
            <w:tcW w:w="936" w:type="dxa"/>
          </w:tcPr>
          <w:p>
            <w:pPr/>
            <w:r>
              <w:t xml:space="preserve">Inversiones</w:t>
            </w:r>
          </w:p>
        </w:tc>
        <w:tc>
          <w:tcPr>
            <w:tcW w:w="1087" w:type="dxa"/>
          </w:tcPr>
          <w:p>
            <w:pPr/>
            <w:r>
              <w:t xml:space="preserve">Gestión: Gestión administrativa de inversiones (188)</w:t>
            </w:r>
          </w:p>
        </w:tc>
        <w:tc>
          <w:tcPr>
            <w:tcW w:w="936" w:type="dxa"/>
          </w:tcPr>
          <w:p>
            <w:pPr/>
            <w:r>
              <w:t xml:space="preserve">Ejecución de convenios y desembolsos</w:t>
            </w:r>
          </w:p>
        </w:tc>
        <w:tc>
          <w:tcPr>
            <w:tcW w:w="936" w:type="dxa"/>
          </w:tcPr>
          <w:p>
            <w:pPr/>
            <w:r>
              <w:t xml:space="preserve">Inversiones</w:t>
            </w:r>
          </w:p>
        </w:tc>
        <w:tc>
          <w:tcPr>
            <w:tcW w:w="1001" w:type="dxa"/>
          </w:tcPr>
          <w:p>
            <w:pPr/>
            <w:r>
              <w:t xml:space="preserve">Evaluación: Seguimiento físico y financiero (350)</w:t>
            </w:r>
          </w:p>
        </w:tc>
        <w:tc>
          <w:tcPr>
            <w:tcW w:w="936" w:type="dxa"/>
          </w:tcPr>
          <w:p>
            <w:pPr/>
            <w:r>
              <w:t xml:space="preserve">01/08/2027</w:t>
            </w:r>
          </w:p>
        </w:tc>
        <w:tc>
          <w:tcPr>
            <w:tcW w:w="936" w:type="dxa"/>
          </w:tcPr>
          <w:p>
            <w:pPr/>
            <w:r>
              <w:t xml:space="preserve">30/08/2027</w:t>
            </w:r>
          </w:p>
        </w:tc>
        <w:tc>
          <w:tcPr>
            <w:tcW w:w="936" w:type="dxa"/>
          </w:tcPr>
          <w:p>
            <w:pPr/>
            <w:r>
              <w:t xml:space="preserve">+29</w:t>
            </w:r>
          </w:p>
        </w:tc>
        <w:tc>
          <w:tcPr>
            <w:tcW w:w="936" w:type="dxa"/>
          </w:tcPr>
          <w:p>
            <w:pPr/>
            <w:r>
              <w:t xml:space="preserve">Medio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D16</w:t>
            </w:r>
          </w:p>
        </w:tc>
        <w:tc>
          <w:tcPr>
            <w:tcW w:w="936" w:type="dxa"/>
          </w:tcPr>
          <w:p>
            <w:pPr/>
            <w:r>
              <w:t xml:space="preserve">Abastecimiento</w:t>
            </w:r>
          </w:p>
        </w:tc>
        <w:tc>
          <w:tcPr>
            <w:tcW w:w="1087" w:type="dxa"/>
          </w:tcPr>
          <w:p>
            <w:pPr/>
            <w:r>
              <w:t xml:space="preserve">Programación: CMN Programación (153) y PAC (155)</w:t>
            </w:r>
          </w:p>
        </w:tc>
        <w:tc>
          <w:tcPr>
            <w:tcW w:w="936" w:type="dxa"/>
          </w:tcPr>
          <w:p>
            <w:pPr/>
            <w:r>
              <w:t xml:space="preserve">Cuadro multianual de necesidades y PAC</w:t>
            </w:r>
          </w:p>
        </w:tc>
        <w:tc>
          <w:tcPr>
            <w:tcW w:w="936" w:type="dxa"/>
          </w:tcPr>
          <w:p>
            <w:pPr/>
            <w:r>
              <w:t xml:space="preserve">Abastecimiento</w:t>
            </w:r>
          </w:p>
        </w:tc>
        <w:tc>
          <w:tcPr>
            <w:tcW w:w="1001" w:type="dxa"/>
          </w:tcPr>
          <w:p>
            <w:pPr/>
            <w:r>
              <w:t xml:space="preserve">Gestión: Actuaciones preparatorias (195)</w:t>
            </w:r>
          </w:p>
        </w:tc>
        <w:tc>
          <w:tcPr>
            <w:tcW w:w="936" w:type="dxa"/>
          </w:tcPr>
          <w:p>
            <w:pPr/>
            <w:r>
              <w:t xml:space="preserve">12/01/2027</w:t>
            </w:r>
          </w:p>
        </w:tc>
        <w:tc>
          <w:tcPr>
            <w:tcW w:w="936" w:type="dxa"/>
          </w:tcPr>
          <w:p>
            <w:pPr/>
            <w:r>
              <w:t xml:space="preserve">25/01/2027</w:t>
            </w:r>
          </w:p>
        </w:tc>
        <w:tc>
          <w:tcPr>
            <w:tcW w:w="936" w:type="dxa"/>
          </w:tcPr>
          <w:p>
            <w:pPr/>
            <w:r>
              <w:t xml:space="preserve">+13</w:t>
            </w:r>
          </w:p>
        </w:tc>
        <w:tc>
          <w:tcPr>
            <w:tcW w:w="936" w:type="dxa"/>
          </w:tcPr>
          <w:p>
            <w:pPr/>
            <w:r>
              <w:t xml:space="preserve">Medio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D17</w:t>
            </w:r>
          </w:p>
        </w:tc>
        <w:tc>
          <w:tcPr>
            <w:tcW w:w="936" w:type="dxa"/>
          </w:tcPr>
          <w:p>
            <w:pPr/>
            <w:r>
              <w:t xml:space="preserve">Endeudamiento</w:t>
            </w:r>
          </w:p>
        </w:tc>
        <w:tc>
          <w:tcPr>
            <w:tcW w:w="1087" w:type="dxa"/>
          </w:tcPr>
          <w:p>
            <w:pPr/>
            <w:r>
              <w:t xml:space="preserve">Programación: Proyección del servicio de la deuda (167, 169)</w:t>
            </w:r>
          </w:p>
        </w:tc>
        <w:tc>
          <w:tcPr>
            <w:tcW w:w="936" w:type="dxa"/>
          </w:tcPr>
          <w:p>
            <w:pPr/>
            <w:r>
              <w:t xml:space="preserve">Servicio de deuda proyectado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01" w:type="dxa"/>
          </w:tcPr>
          <w:p>
            <w:pPr/>
            <w:r>
              <w:t xml:space="preserve">Programación: Formulación (144)</w:t>
            </w:r>
          </w:p>
        </w:tc>
        <w:tc>
          <w:tcPr>
            <w:tcW w:w="936" w:type="dxa"/>
          </w:tcPr>
          <w:p>
            <w:pPr/>
            <w:r>
              <w:t xml:space="preserve">19/01/2027 (fin)</w:t>
            </w:r>
          </w:p>
        </w:tc>
        <w:tc>
          <w:tcPr>
            <w:tcW w:w="936" w:type="dxa"/>
          </w:tcPr>
          <w:p>
            <w:pPr/>
            <w:r>
              <w:t xml:space="preserve">29/01/2027</w:t>
            </w:r>
          </w:p>
        </w:tc>
        <w:tc>
          <w:tcPr>
            <w:tcW w:w="936" w:type="dxa"/>
          </w:tcPr>
          <w:p>
            <w:pPr/>
            <w:r>
              <w:t xml:space="preserve">+10</w:t>
            </w:r>
          </w:p>
        </w:tc>
        <w:tc>
          <w:tcPr>
            <w:tcW w:w="936" w:type="dxa"/>
          </w:tcPr>
          <w:p>
            <w:pPr/>
            <w:r>
              <w:t xml:space="preserve">Medio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D18</w:t>
            </w:r>
          </w:p>
        </w:tc>
        <w:tc>
          <w:tcPr>
            <w:tcW w:w="936" w:type="dxa"/>
          </w:tcPr>
          <w:p>
            <w:pPr/>
            <w:r>
              <w:t xml:space="preserve">Tesorería</w:t>
            </w:r>
          </w:p>
        </w:tc>
        <w:tc>
          <w:tcPr>
            <w:tcW w:w="1087" w:type="dxa"/>
          </w:tcPr>
          <w:p>
            <w:pPr/>
            <w:r>
              <w:t xml:space="preserve">Programación: Recursos por OOC, RO y RD (160, 2 %)</w:t>
            </w:r>
          </w:p>
        </w:tc>
        <w:tc>
          <w:tcPr>
            <w:tcW w:w="936" w:type="dxa"/>
          </w:tcPr>
          <w:p>
            <w:pPr/>
            <w:r>
              <w:t xml:space="preserve">Estimación de ingresos por fuente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01" w:type="dxa"/>
          </w:tcPr>
          <w:p>
            <w:pPr/>
            <w:r>
              <w:t xml:space="preserve">Programación: Formulación (144)</w:t>
            </w:r>
          </w:p>
        </w:tc>
        <w:tc>
          <w:tcPr>
            <w:tcW w:w="936" w:type="dxa"/>
          </w:tcPr>
          <w:p>
            <w:pPr/>
            <w:r>
              <w:t xml:space="preserve">19/01/2027 (fin)</w:t>
            </w:r>
          </w:p>
        </w:tc>
        <w:tc>
          <w:tcPr>
            <w:tcW w:w="936" w:type="dxa"/>
          </w:tcPr>
          <w:p>
            <w:pPr/>
            <w:r>
              <w:t xml:space="preserve">29/01/2027</w:t>
            </w:r>
          </w:p>
        </w:tc>
        <w:tc>
          <w:tcPr>
            <w:tcW w:w="936" w:type="dxa"/>
          </w:tcPr>
          <w:p>
            <w:pPr/>
            <w:r>
              <w:t xml:space="preserve">+10</w:t>
            </w:r>
          </w:p>
        </w:tc>
        <w:tc>
          <w:tcPr>
            <w:tcW w:w="936" w:type="dxa"/>
          </w:tcPr>
          <w:p>
            <w:pPr/>
            <w:r>
              <w:t xml:space="preserve">Medio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D19</w:t>
            </w:r>
          </w:p>
        </w:tc>
        <w:tc>
          <w:tcPr>
            <w:tcW w:w="936" w:type="dxa"/>
          </w:tcPr>
          <w:p>
            <w:pPr/>
            <w:r>
              <w:t xml:space="preserve">Contabilidad</w:t>
            </w:r>
          </w:p>
        </w:tc>
        <w:tc>
          <w:tcPr>
            <w:tcW w:w="1087" w:type="dxa"/>
          </w:tcPr>
          <w:p>
            <w:pPr/>
            <w:r>
              <w:t xml:space="preserve">Catálogos: Agregación y Consolidación presupuestal y contable (108–109)</w:t>
            </w:r>
          </w:p>
        </w:tc>
        <w:tc>
          <w:tcPr>
            <w:tcW w:w="936" w:type="dxa"/>
          </w:tcPr>
          <w:p>
            <w:pPr/>
            <w:r>
              <w:t xml:space="preserve">Reglas de consolidación</w:t>
            </w:r>
          </w:p>
        </w:tc>
        <w:tc>
          <w:tcPr>
            <w:tcW w:w="936" w:type="dxa"/>
          </w:tcPr>
          <w:p>
            <w:pPr/>
            <w:r>
              <w:t xml:space="preserve">Contabilidad</w:t>
            </w:r>
          </w:p>
        </w:tc>
        <w:tc>
          <w:tcPr>
            <w:tcW w:w="1001" w:type="dxa"/>
          </w:tcPr>
          <w:p>
            <w:pPr/>
            <w:r>
              <w:t xml:space="preserve">Evaluación: Consolidación presupuestal y contable (356–357)</w:t>
            </w:r>
          </w:p>
        </w:tc>
        <w:tc>
          <w:tcPr>
            <w:tcW w:w="936" w:type="dxa"/>
          </w:tcPr>
          <w:p>
            <w:pPr/>
            <w:r>
              <w:t xml:space="preserve">15/10/2027</w:t>
            </w:r>
          </w:p>
        </w:tc>
        <w:tc>
          <w:tcPr>
            <w:tcW w:w="936" w:type="dxa"/>
          </w:tcPr>
          <w:p>
            <w:pPr/>
            <w:r>
              <w:t xml:space="preserve">21/10/2027</w:t>
            </w:r>
          </w:p>
        </w:tc>
        <w:tc>
          <w:tcPr>
            <w:tcW w:w="936" w:type="dxa"/>
          </w:tcPr>
          <w:p>
            <w:pPr/>
            <w:r>
              <w:t xml:space="preserve">+6</w:t>
            </w:r>
          </w:p>
        </w:tc>
        <w:tc>
          <w:tcPr>
            <w:tcW w:w="936" w:type="dxa"/>
          </w:tcPr>
          <w:p>
            <w:pPr/>
            <w:r>
              <w:t xml:space="preserve">Bajo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D20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87" w:type="dxa"/>
          </w:tcPr>
          <w:p>
            <w:pPr/>
            <w:r>
              <w:t xml:space="preserve">Gestión: Cuotas de compromiso (175–176, "Por validar")</w:t>
            </w:r>
          </w:p>
        </w:tc>
        <w:tc>
          <w:tcPr>
            <w:tcW w:w="936" w:type="dxa"/>
          </w:tcPr>
          <w:p>
            <w:pPr/>
            <w:r>
              <w:t xml:space="preserve">Cuotas de compromiso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01" w:type="dxa"/>
          </w:tcPr>
          <w:p>
            <w:pPr/>
            <w:r>
              <w:t xml:space="preserve">Gestión: Ejecución presupuestaria (180)</w:t>
            </w:r>
          </w:p>
        </w:tc>
        <w:tc>
          <w:tcPr>
            <w:tcW w:w="936" w:type="dxa"/>
          </w:tcPr>
          <w:p>
            <w:pPr/>
            <w:r>
              <w:t xml:space="preserve">01/06/2027</w:t>
            </w:r>
          </w:p>
        </w:tc>
        <w:tc>
          <w:tcPr>
            <w:tcW w:w="936" w:type="dxa"/>
          </w:tcPr>
          <w:p>
            <w:pPr/>
            <w:r>
              <w:t xml:space="preserve">31/05/2027</w:t>
            </w:r>
          </w:p>
        </w:tc>
        <w:tc>
          <w:tcPr>
            <w:tcW w:w="936" w:type="dxa"/>
          </w:tcPr>
          <w:p>
            <w:pPr/>
            <w:r>
              <w:t xml:space="preserve">−1</w:t>
            </w:r>
          </w:p>
        </w:tc>
        <w:tc>
          <w:tcPr>
            <w:tcW w:w="936" w:type="dxa"/>
          </w:tcPr>
          <w:p>
            <w:pPr/>
            <w:r>
              <w:t xml:space="preserve">Bajo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D21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87" w:type="dxa"/>
          </w:tcPr>
          <w:p>
            <w:pPr/>
            <w:r>
              <w:t xml:space="preserve">Programación: Formulación y Aprobación (144–145)</w:t>
            </w:r>
          </w:p>
        </w:tc>
        <w:tc>
          <w:tcPr>
            <w:tcW w:w="936" w:type="dxa"/>
          </w:tcPr>
          <w:p>
            <w:pPr/>
            <w:r>
              <w:t xml:space="preserve">Presupuesto aprobado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1001" w:type="dxa"/>
          </w:tcPr>
          <w:p>
            <w:pPr/>
            <w:r>
              <w:t xml:space="preserve">Gestión: Apertura del ejercicio (173)</w:t>
            </w:r>
          </w:p>
        </w:tc>
        <w:tc>
          <w:tcPr>
            <w:tcW w:w="936" w:type="dxa"/>
          </w:tcPr>
          <w:p>
            <w:pPr/>
            <w:r>
              <w:t xml:space="preserve">22/03/2027</w:t>
            </w:r>
          </w:p>
        </w:tc>
        <w:tc>
          <w:tcPr>
            <w:tcW w:w="936" w:type="dxa"/>
          </w:tcPr>
          <w:p>
            <w:pPr/>
            <w:r>
              <w:t xml:space="preserve">05/02/2027</w:t>
            </w:r>
          </w:p>
        </w:tc>
        <w:tc>
          <w:tcPr>
            <w:tcW w:w="936" w:type="dxa"/>
          </w:tcPr>
          <w:p>
            <w:pPr/>
            <w:r>
              <w:t xml:space="preserve">−45</w:t>
            </w:r>
          </w:p>
        </w:tc>
        <w:tc>
          <w:tcPr>
            <w:tcW w:w="936" w:type="dxa"/>
          </w:tcPr>
          <w:p>
            <w:pPr/>
            <w:r>
              <w:t xml:space="preserve">Bajo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D22</w:t>
            </w:r>
          </w:p>
        </w:tc>
        <w:tc>
          <w:tcPr>
            <w:tcW w:w="936" w:type="dxa"/>
          </w:tcPr>
          <w:p>
            <w:pPr/>
            <w:r>
              <w:t xml:space="preserve">GFRH</w:t>
            </w:r>
          </w:p>
        </w:tc>
        <w:tc>
          <w:tcPr>
            <w:tcW w:w="1087" w:type="dxa"/>
          </w:tcPr>
          <w:p>
            <w:pPr/>
            <w:r>
              <w:t xml:space="preserve">Gestión: Planillas del sector público (216)</w:t>
            </w:r>
          </w:p>
        </w:tc>
        <w:tc>
          <w:tcPr>
            <w:tcW w:w="936" w:type="dxa"/>
          </w:tcPr>
          <w:p>
            <w:pPr/>
            <w:r>
              <w:t xml:space="preserve">Planilla para el compromiso y el pago</w:t>
            </w:r>
          </w:p>
        </w:tc>
        <w:tc>
          <w:tcPr>
            <w:tcW w:w="936" w:type="dxa"/>
          </w:tcPr>
          <w:p>
            <w:pPr/>
            <w:r>
              <w:t xml:space="preserve">Presupuesto y Tesorería</w:t>
            </w:r>
          </w:p>
        </w:tc>
        <w:tc>
          <w:tcPr>
            <w:tcW w:w="1001" w:type="dxa"/>
          </w:tcPr>
          <w:p>
            <w:pPr/>
            <w:r>
              <w:t xml:space="preserve">Gestión: Ejecución de gastos de gestión fiscal (182); Gestión de pagos</w:t>
            </w:r>
          </w:p>
        </w:tc>
        <w:tc>
          <w:tcPr>
            <w:tcW w:w="936" w:type="dxa"/>
          </w:tcPr>
          <w:p>
            <w:pPr/>
            <w:r>
              <w:t xml:space="preserve">16/06/2027</w:t>
            </w:r>
          </w:p>
        </w:tc>
        <w:tc>
          <w:tcPr>
            <w:tcW w:w="936" w:type="dxa"/>
          </w:tcPr>
          <w:p>
            <w:pPr/>
            <w:r>
              <w:t xml:space="preserve">30/09/2026</w:t>
            </w:r>
          </w:p>
        </w:tc>
        <w:tc>
          <w:tcPr>
            <w:tcW w:w="936" w:type="dxa"/>
          </w:tcPr>
          <w:p>
            <w:pPr/>
            <w:r>
              <w:t xml:space="preserve">−259</w:t>
            </w:r>
          </w:p>
        </w:tc>
        <w:tc>
          <w:tcPr>
            <w:tcW w:w="936" w:type="dxa"/>
          </w:tcPr>
          <w:p>
            <w:pPr/>
            <w:r>
              <w:t xml:space="preserve">Bajo (prueba integrada tardía)</w:t>
            </w:r>
          </w:p>
        </w:tc>
      </w:tr>
    </w:tbl>
    <w:p>
      <w:pPr/>
      <w:r>
        <w:rPr>
          <w:b/>
        </w:rPr>
        <w:t xml:space="preserve">Solapamientos viables con entregas parciales:</w:t>
      </w:r>
      <w:r>
        <w:t xml:space="preserve"> D13, D15, D16, D19 y D20. En estos casos basta con definir una versión funcional mínima del origen que habilite al receptor. No requieren cambiar fechas, pero sí registrar el vínculo con un desfase.</w:t>
      </w:r>
    </w:p>
    <w:p>
      <w:pPr/>
      <w:r>
        <w:rPr>
          <w:b/>
        </w:rPr>
        <w:t xml:space="preserve">Inversiones de secuencia que no se resuelven con entregas parciales:</w:t>
      </w:r>
      <w:r>
        <w:t xml:space="preserve"> D1, D2, D3, D4 y D5. El receptor termina su diseño antes de que exista el diseño del origen.</w:t>
      </w:r>
    </w:p>
    <w:p>
      <w:pPr>
        <w:pStyle w:val="Heading2"/>
      </w:pPr>
      <w:r>
        <w:t xml:space="preserve">6. Alertas de integración</w:t>
      </w:r>
    </w:p>
    <w:p>
      <w:pPr/>
      <w:r>
        <w:t xml:space="preserve">Se identifican 19 alertas: 2 críticas, 5 altas, 8 medias y 4 bajas. Solo se califica como crítica una alerta cuando el proceso receptor cierra su diseño antes de que exista el insumo y no hay entrega parcial posible. Un simple solapamiento de fechas no basta.</w:t>
      </w:r>
    </w:p>
    <w:p>
      <w:pPr/>
      <w:r>
        <w:rPr>
          <w:b/>
        </w:rPr>
        <w:t xml:space="preserve">Cuadro 4. Alertas de integración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170"/>
        <w:gridCol w:w="1170"/>
        <w:gridCol w:w="1170"/>
        <w:gridCol w:w="1789"/>
        <w:gridCol w:w="1170"/>
        <w:gridCol w:w="1001"/>
        <w:gridCol w:w="117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N.º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Sistema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Macroprocesos involucrados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Hallazgo</w:t>
            </w:r>
          </w:p>
        </w:tc>
        <w:tc>
          <w:tcPr>
            <w:tcW w:w="1789" w:type="dxa"/>
            <w:shd w:val="clear" w:color="auto" w:fill="F2F2F2"/>
          </w:tcPr>
          <w:p>
            <w:pPr/>
            <w:r>
              <w:t xml:space="preserve">Evidencia del cronograma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Impacto</w:t>
            </w:r>
          </w:p>
        </w:tc>
        <w:tc>
          <w:tcPr>
            <w:tcW w:w="1001" w:type="dxa"/>
            <w:shd w:val="clear" w:color="auto" w:fill="F2F2F2"/>
          </w:tcPr>
          <w:p>
            <w:pPr/>
            <w:r>
              <w:t xml:space="preserve">Nivel de alerta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Acción requerida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170" w:type="dxa"/>
          </w:tcPr>
          <w:p>
            <w:pPr/>
            <w:r>
              <w:t xml:space="preserve">Tesorería</w:t>
            </w:r>
          </w:p>
        </w:tc>
        <w:tc>
          <w:tcPr>
            <w:tcW w:w="1170" w:type="dxa"/>
          </w:tcPr>
          <w:p>
            <w:pPr/>
            <w:r>
              <w:t xml:space="preserve">Programación → Gestión</w:t>
            </w:r>
          </w:p>
        </w:tc>
        <w:tc>
          <w:tcPr>
            <w:tcW w:w="1170" w:type="dxa"/>
          </w:tcPr>
          <w:p>
            <w:pPr/>
            <w:r>
              <w:t xml:space="preserve">La cuota de pago se diseña después de los procesos de pago que la usan.</w:t>
            </w:r>
          </w:p>
        </w:tc>
        <w:tc>
          <w:tcPr>
            <w:tcW w:w="1789" w:type="dxa"/>
          </w:tcPr>
          <w:p>
            <w:pPr/>
            <w:r>
              <w:t xml:space="preserve">Asignación de pago (163): 01/05/2028–31/05/2028. Flujos de caja diarios (162): 01/03/2028–28/04/2028. Gestión de pagos: desde 20/04/2027 (232); Entre CUT (236) y Operativización del pago (234) terminan en septiembre de 2027.</w:t>
            </w:r>
          </w:p>
        </w:tc>
        <w:tc>
          <w:tcPr>
            <w:tcW w:w="1170" w:type="dxa"/>
          </w:tcPr>
          <w:p>
            <w:pPr/>
            <w:r>
              <w:t xml:space="preserve">Los MFD de pagos se cierran sin la regla que habilita el pago. Habrá retrabajo y no se podrá probar el ciclo compromiso–devengado–pago.</w:t>
            </w:r>
          </w:p>
        </w:tc>
        <w:tc>
          <w:tcPr>
            <w:tcW w:w="1001" w:type="dxa"/>
          </w:tcPr>
          <w:p>
            <w:pPr/>
            <w:r>
              <w:t xml:space="preserve">Crítica</w:t>
            </w:r>
          </w:p>
        </w:tc>
        <w:tc>
          <w:tcPr>
            <w:tcW w:w="1170" w:type="dxa"/>
          </w:tcPr>
          <w:p>
            <w:pPr/>
            <w:r>
              <w:t xml:space="preserve">Adelantar 162–163 (Cuadro 5, ajuste 1) o definir una cuota de pago mínima antes del 20/04/2027.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170" w:type="dxa"/>
          </w:tcPr>
          <w:p>
            <w:pPr/>
            <w:r>
              <w:t xml:space="preserve">Abastecimiento y Presupuesto</w:t>
            </w:r>
          </w:p>
        </w:tc>
        <w:tc>
          <w:tcPr>
            <w:tcW w:w="1170" w:type="dxa"/>
          </w:tcPr>
          <w:p>
            <w:pPr/>
            <w:r>
              <w:t xml:space="preserve">Gestión ↔ Gestión</w:t>
            </w:r>
          </w:p>
        </w:tc>
        <w:tc>
          <w:tcPr>
            <w:tcW w:w="1170" w:type="dxa"/>
          </w:tcPr>
          <w:p>
            <w:pPr/>
            <w:r>
              <w:t xml:space="preserve">El diseño de la ejecución del gasto de bienes y servicios termina antes que el contrato, la orden y la conformidad.</w:t>
            </w:r>
          </w:p>
        </w:tc>
        <w:tc>
          <w:tcPr>
            <w:tcW w:w="1789" w:type="dxa"/>
          </w:tcPr>
          <w:p>
            <w:pPr/>
            <w:r>
              <w:t xml:space="preserve">Ejecución de gastos de bienes, servicios y obras (181): 01/06/2027–31/07/2027. Generación de contrato, OC y OS (196): 14/05/2027–01/10/2027. Conformidad (197): 01/09/2027–07/01/2028.</w:t>
            </w:r>
          </w:p>
        </w:tc>
        <w:tc>
          <w:tcPr>
            <w:tcW w:w="1170" w:type="dxa"/>
          </w:tcPr>
          <w:p>
            <w:pPr/>
            <w:r>
              <w:t xml:space="preserve">El compromiso y el devengado de bienes y servicios, la mayor parte del gasto corriente, se diseñan sin su documento fuente.</w:t>
            </w:r>
          </w:p>
        </w:tc>
        <w:tc>
          <w:tcPr>
            <w:tcW w:w="1001" w:type="dxa"/>
          </w:tcPr>
          <w:p>
            <w:pPr/>
            <w:r>
              <w:t xml:space="preserve">Crítica</w:t>
            </w:r>
          </w:p>
        </w:tc>
        <w:tc>
          <w:tcPr>
            <w:tcW w:w="1170" w:type="dxa"/>
          </w:tcPr>
          <w:p>
            <w:pPr/>
            <w:r>
              <w:t xml:space="preserve">Reprogramar 181 en dos entregas, compromiso y devengado (Cuadro 5, ajuste 2), y vincularlas con 196 y 197.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170" w:type="dxa"/>
          </w:tcPr>
          <w:p>
            <w:pPr/>
            <w:r>
              <w:t xml:space="preserve">Transversal</w:t>
            </w:r>
          </w:p>
        </w:tc>
        <w:tc>
          <w:tcPr>
            <w:tcW w:w="1170" w:type="dxa"/>
          </w:tcPr>
          <w:p>
            <w:pPr/>
            <w:r>
              <w:t xml:space="preserve">Los cuatro</w:t>
            </w:r>
          </w:p>
        </w:tc>
        <w:tc>
          <w:tcPr>
            <w:tcW w:w="1170" w:type="dxa"/>
          </w:tcPr>
          <w:p>
            <w:pPr/>
            <w:r>
              <w:t xml:space="preserve">El cronograma no puede demostrar la integración porque no tiene lógica de red.</w:t>
            </w:r>
          </w:p>
        </w:tc>
        <w:tc>
          <w:tcPr>
            <w:tcW w:w="1789" w:type="dxa"/>
          </w:tcPr>
          <w:p>
            <w:pPr/>
            <w:r>
              <w:t xml:space="preserve">0 predecesoras en 374 filas; 304 de 307 tareas en modo manual; sin línea base, fecha de estado, hitos ni recursos. La construcción del software (fila 133) es un marcador de 1 día.</w:t>
            </w:r>
          </w:p>
        </w:tc>
        <w:tc>
          <w:tcPr>
            <w:tcW w:w="1170" w:type="dxa"/>
          </w:tcPr>
          <w:p>
            <w:pPr/>
            <w:r>
              <w:t xml:space="preserve">No hay ruta crítica. Un atraso no se propaga, y la puesta en producción no tiene fecha.</w:t>
            </w:r>
          </w:p>
        </w:tc>
        <w:tc>
          <w:tcPr>
            <w:tcW w:w="1001" w:type="dxa"/>
          </w:tcPr>
          <w:p>
            <w:pPr/>
            <w:r>
              <w:t xml:space="preserve">Alta</w:t>
            </w:r>
          </w:p>
        </w:tc>
        <w:tc>
          <w:tcPr>
            <w:tcW w:w="1170" w:type="dxa"/>
          </w:tcPr>
          <w:p>
            <w:pPr/>
            <w:r>
              <w:t xml:space="preserve">Registrar los vínculos del Cuadro 3, pasar las tareas a modo automático, guardar una línea base y programar el C3 por sistema.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170" w:type="dxa"/>
          </w:tcPr>
          <w:p>
            <w:pPr/>
            <w:r>
              <w:t xml:space="preserve">Contabilidad</w:t>
            </w:r>
          </w:p>
        </w:tc>
        <w:tc>
          <w:tcPr>
            <w:tcW w:w="1170" w:type="dxa"/>
          </w:tcPr>
          <w:p>
            <w:pPr/>
            <w:r>
              <w:t xml:space="preserve">Gestión → Evaluación</w:t>
            </w:r>
          </w:p>
        </w:tc>
        <w:tc>
          <w:tcPr>
            <w:tcW w:w="1170" w:type="dxa"/>
          </w:tcPr>
          <w:p>
            <w:pPr/>
            <w:r>
              <w:t xml:space="preserve">Los cierres y estados se diseñan antes que la ejecución que deben reflejar.</w:t>
            </w:r>
          </w:p>
        </w:tc>
        <w:tc>
          <w:tcPr>
            <w:tcW w:w="1789" w:type="dxa"/>
          </w:tcPr>
          <w:p>
            <w:pPr/>
            <w:r>
              <w:t xml:space="preserve">Estados presupuestales y Cierre presupuestario (359–360): 01/10/2026–06/02/2027, en 0 % a pesar de que debieron iniciar. Estados financieros (358): hasta 08/06/2027. Ejecución presupuestaria (180): hasta 22/11/2027.</w:t>
            </w:r>
          </w:p>
        </w:tc>
        <w:tc>
          <w:tcPr>
            <w:tcW w:w="1170" w:type="dxa"/>
          </w:tcPr>
          <w:p>
            <w:pPr/>
            <w:r>
              <w:t xml:space="preserve">Si la fuente es el nuevo módulo de Ejecución, habrá rediseño. Si es el SIAF-SP (integración 344 concluida), es viable, pero se debe documentar.</w:t>
            </w:r>
          </w:p>
        </w:tc>
        <w:tc>
          <w:tcPr>
            <w:tcW w:w="1001" w:type="dxa"/>
          </w:tcPr>
          <w:p>
            <w:pPr/>
            <w:r>
              <w:t xml:space="preserve">Alta</w:t>
            </w:r>
          </w:p>
        </w:tc>
        <w:tc>
          <w:tcPr>
            <w:tcW w:w="1170" w:type="dxa"/>
          </w:tcPr>
          <w:p>
            <w:pPr/>
            <w:r>
              <w:t xml:space="preserve">Confirmar la fuente de datos. Si es el nuevo módulo, aplicar el Cuadro 5, ajuste 6.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170" w:type="dxa"/>
          </w:tcPr>
          <w:p>
            <w:pPr/>
            <w:r>
              <w:t xml:space="preserve">Contabilidad</w:t>
            </w:r>
          </w:p>
        </w:tc>
        <w:tc>
          <w:tcPr>
            <w:tcW w:w="1170" w:type="dxa"/>
          </w:tcPr>
          <w:p>
            <w:pPr/>
            <w:r>
              <w:t xml:space="preserve">Gestión (todos los sistemas)</w:t>
            </w:r>
          </w:p>
        </w:tc>
        <w:tc>
          <w:tcPr>
            <w:tcW w:w="1170" w:type="dxa"/>
          </w:tcPr>
          <w:p>
            <w:pPr/>
            <w:r>
              <w:t xml:space="preserve">El motor contable no se actualiza para los procesos diseñados después de septiembre de 2028.</w:t>
            </w:r>
          </w:p>
        </w:tc>
        <w:tc>
          <w:tcPr>
            <w:tcW w:w="1789" w:type="dxa"/>
          </w:tcPr>
          <w:p>
            <w:pPr/>
            <w:r>
              <w:t xml:space="preserve">Actualización 2 de Catálogo de Eventos y Motor (347): fin 22/09/2028. Endeudamiento etapa 2 incluye "Ajustes contables – Diferencia de cambio" (332, 2029) y "Carga financiera devengada" (327, 2029). Gestión de almacén: 2029.</w:t>
            </w:r>
          </w:p>
        </w:tc>
        <w:tc>
          <w:tcPr>
            <w:tcW w:w="1170" w:type="dxa"/>
          </w:tcPr>
          <w:p>
            <w:pPr/>
            <w:r>
              <w:t xml:space="preserve">Operaciones de deuda y almacén sin eventos contables definidos.</w:t>
            </w:r>
          </w:p>
        </w:tc>
        <w:tc>
          <w:tcPr>
            <w:tcW w:w="1001" w:type="dxa"/>
          </w:tcPr>
          <w:p>
            <w:pPr/>
            <w:r>
              <w:t xml:space="preserve">Alta</w:t>
            </w:r>
          </w:p>
        </w:tc>
        <w:tc>
          <w:tcPr>
            <w:tcW w:w="1170" w:type="dxa"/>
          </w:tcPr>
          <w:p>
            <w:pPr/>
            <w:r>
              <w:t xml:space="preserve">Agregar una Actualización 3 del motor, posterior al 28/12/2029 o por entregas anuales.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170" w:type="dxa"/>
          </w:tcPr>
          <w:p>
            <w:pPr/>
            <w:r>
              <w:t xml:space="preserve">Presupuesto</w:t>
            </w:r>
          </w:p>
        </w:tc>
        <w:tc>
          <w:tcPr>
            <w:tcW w:w="1170" w:type="dxa"/>
          </w:tcPr>
          <w:p>
            <w:pPr/>
            <w:r>
              <w:t xml:space="preserve">Catálogos y Programación</w:t>
            </w:r>
          </w:p>
        </w:tc>
        <w:tc>
          <w:tcPr>
            <w:tcW w:w="1170" w:type="dxa"/>
          </w:tcPr>
          <w:p>
            <w:pPr/>
            <w:r>
              <w:t xml:space="preserve">Las metas, los clasificadores temáticos y la estructura programática 2027 terminan después de la Formulación.</w:t>
            </w:r>
          </w:p>
        </w:tc>
        <w:tc>
          <w:tcPr>
            <w:tcW w:w="1789" w:type="dxa"/>
          </w:tcPr>
          <w:p>
            <w:pPr/>
            <w:r>
              <w:t xml:space="preserve">Administrador de Metas (140, "Por validar"): fin 22/03/2027. Cambio Climático (49): 04/03/2027. Pueblos Indígenas (50): 31/03/2027. Catálogos versión 2 (128–132, "No figura en PMO"): hasta 05/03/2027. Formulación (144): fin 19/01/2027.</w:t>
            </w:r>
          </w:p>
        </w:tc>
        <w:tc>
          <w:tcPr>
            <w:tcW w:w="1170" w:type="dxa"/>
          </w:tcPr>
          <w:p>
            <w:pPr/>
            <w:r>
              <w:t xml:space="preserve">La Formulación se diseña con estructuras incompletas; las versiones 2 no están en el alcance aprobado.</w:t>
            </w:r>
          </w:p>
        </w:tc>
        <w:tc>
          <w:tcPr>
            <w:tcW w:w="1001" w:type="dxa"/>
          </w:tcPr>
          <w:p>
            <w:pPr/>
            <w:r>
              <w:t xml:space="preserve">Alta</w:t>
            </w:r>
          </w:p>
        </w:tc>
        <w:tc>
          <w:tcPr>
            <w:tcW w:w="1170" w:type="dxa"/>
          </w:tcPr>
          <w:p>
            <w:pPr/>
            <w:r>
              <w:t xml:space="preserve">Adelantar o definir el ciclo de aplicación (Cuadro 5, ajustes 3 a 5). Incorporar las versiones 2 al PMO.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170" w:type="dxa"/>
          </w:tcPr>
          <w:p>
            <w:pPr/>
            <w:r>
              <w:t xml:space="preserve">Inversiones</w:t>
            </w:r>
          </w:p>
        </w:tc>
        <w:tc>
          <w:tcPr>
            <w:tcW w:w="1170" w:type="dxa"/>
          </w:tcPr>
          <w:p>
            <w:pPr/>
            <w:r>
              <w:t xml:space="preserve">Programación ↔ Presupuesto</w:t>
            </w:r>
          </w:p>
        </w:tc>
        <w:tc>
          <w:tcPr>
            <w:tcW w:w="1170" w:type="dxa"/>
          </w:tcPr>
          <w:p>
            <w:pPr/>
            <w:r>
              <w:t xml:space="preserve">La cadena de programación de inversiones está detenida y desfasada del ciclo presupuestario.</w:t>
            </w:r>
          </w:p>
        </w:tc>
        <w:tc>
          <w:tcPr>
            <w:tcW w:w="1789" w:type="dxa"/>
          </w:tcPr>
          <w:p>
            <w:pPr/>
            <w:r>
              <w:t xml:space="preserve">PMI y PMIE (147): StandBy, 62 %, fin 30/11/2026; la fila 149 empieza el 01/12/2026. Formulación multianual por proyecto (150): 01/04/2027–30/06/2027. Catálogo de ciudad país (127): StandBy, 7 %.</w:t>
            </w:r>
          </w:p>
        </w:tc>
        <w:tc>
          <w:tcPr>
            <w:tcW w:w="1170" w:type="dxa"/>
          </w:tcPr>
          <w:p>
            <w:pPr/>
            <w:r>
              <w:t xml:space="preserve">Sin la PMI no hay estructura de proyectos para Presupuesto ni para Endeudamiento.</w:t>
            </w:r>
          </w:p>
        </w:tc>
        <w:tc>
          <w:tcPr>
            <w:tcW w:w="1001" w:type="dxa"/>
          </w:tcPr>
          <w:p>
            <w:pPr/>
            <w:r>
              <w:t xml:space="preserve">Alta</w:t>
            </w:r>
          </w:p>
        </w:tc>
        <w:tc>
          <w:tcPr>
            <w:tcW w:w="1170" w:type="dxa"/>
          </w:tcPr>
          <w:p>
            <w:pPr/>
            <w:r>
              <w:t xml:space="preserve">Decidir si se reactiva la PMI y confirmar a qué ciclo de formulación corresponde la fila 150.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170" w:type="dxa"/>
          </w:tcPr>
          <w:p>
            <w:pPr/>
            <w:r>
              <w:t xml:space="preserve">Endeudamiento y Tesorería</w:t>
            </w:r>
          </w:p>
        </w:tc>
        <w:tc>
          <w:tcPr>
            <w:tcW w:w="1170" w:type="dxa"/>
          </w:tcPr>
          <w:p>
            <w:pPr/>
            <w:r>
              <w:t xml:space="preserve">Programación → Programación (Presupuesto)</w:t>
            </w:r>
          </w:p>
        </w:tc>
        <w:tc>
          <w:tcPr>
            <w:tcW w:w="1170" w:type="dxa"/>
          </w:tcPr>
          <w:p>
            <w:pPr/>
            <w:r>
              <w:t xml:space="preserve">Los insumos de deuda e ingresos llegan 10 días después del fin de la Formulación.</w:t>
            </w:r>
          </w:p>
        </w:tc>
        <w:tc>
          <w:tcPr>
            <w:tcW w:w="1789" w:type="dxa"/>
          </w:tcPr>
          <w:p>
            <w:pPr/>
            <w:r>
              <w:t xml:space="preserve">Proyección del servicio de deuda (167) y Consolidación (169): fin 29/01/2027. Recursos por OOC, RO y RD (160, 2 %): fin 29/01/2027. Las filas 165 y 170 tienen la restricción "No finalizar antes del 29/01/2027".</w:t>
            </w:r>
          </w:p>
        </w:tc>
        <w:tc>
          <w:tcPr>
            <w:tcW w:w="1170" w:type="dxa"/>
          </w:tcPr>
          <w:p>
            <w:pPr/>
            <w:r>
              <w:t xml:space="preserve">Brecha corta, que se puede cubrir con una entrega parcial.</w:t>
            </w:r>
          </w:p>
        </w:tc>
        <w:tc>
          <w:tcPr>
            <w:tcW w:w="1001" w:type="dxa"/>
          </w:tcPr>
          <w:p>
            <w:pPr/>
            <w:r>
              <w:t xml:space="preserve">Media</w:t>
            </w:r>
          </w:p>
        </w:tc>
        <w:tc>
          <w:tcPr>
            <w:tcW w:w="1170" w:type="dxa"/>
          </w:tcPr>
          <w:p>
            <w:pPr/>
            <w:r>
              <w:t xml:space="preserve">Entregar una versión preliminar al 15/01/2027 y revisar si la restricción se justifica.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170" w:type="dxa"/>
          </w:tcPr>
          <w:p>
            <w:pPr/>
            <w:r>
              <w:t xml:space="preserve">Inversiones y Endeudamiento</w:t>
            </w:r>
          </w:p>
        </w:tc>
        <w:tc>
          <w:tcPr>
            <w:tcW w:w="1170" w:type="dxa"/>
          </w:tcPr>
          <w:p>
            <w:pPr/>
            <w:r>
              <w:t xml:space="preserve">Gestión</w:t>
            </w:r>
          </w:p>
        </w:tc>
        <w:tc>
          <w:tcPr>
            <w:tcW w:w="1170" w:type="dxa"/>
          </w:tcPr>
          <w:p>
            <w:pPr/>
            <w:r>
              <w:t xml:space="preserve">Hay procesos posiblemente duplicados sobre convenios y desembolsos.</w:t>
            </w:r>
          </w:p>
        </w:tc>
        <w:tc>
          <w:tcPr>
            <w:tcW w:w="1789" w:type="dxa"/>
          </w:tcPr>
          <w:p>
            <w:pPr/>
            <w:r>
              <w:t xml:space="preserve">Inversiones: Estructura de convenios (189) y Gestión de desembolsos (191). Endeudamiento: Registro de estructura de convenios (282) y Gestión de desembolsos (279). Todos entre enero y mayo de 2027. Catálogo relacional Deuda Inversión (82): "Por actualizar".</w:t>
            </w:r>
          </w:p>
        </w:tc>
        <w:tc>
          <w:tcPr>
            <w:tcW w:w="1170" w:type="dxa"/>
          </w:tcPr>
          <w:p>
            <w:pPr/>
            <w:r>
              <w:t xml:space="preserve">Doble diseño, o datos de convenios con dos fuentes.</w:t>
            </w:r>
          </w:p>
        </w:tc>
        <w:tc>
          <w:tcPr>
            <w:tcW w:w="1001" w:type="dxa"/>
          </w:tcPr>
          <w:p>
            <w:pPr/>
            <w:r>
              <w:t xml:space="preserve">Media</w:t>
            </w:r>
          </w:p>
        </w:tc>
        <w:tc>
          <w:tcPr>
            <w:tcW w:w="1170" w:type="dxa"/>
          </w:tcPr>
          <w:p>
            <w:pPr/>
            <w:r>
              <w:t xml:space="preserve">Definir un sistema titular y que el otro consuma el dato. Actualizar el catálogo 82 antes del 01/12/2026.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170" w:type="dxa"/>
          </w:tcPr>
          <w:p>
            <w:pPr/>
            <w:r>
              <w:t xml:space="preserve">Presupuesto y Tesorería</w:t>
            </w:r>
          </w:p>
        </w:tc>
        <w:tc>
          <w:tcPr>
            <w:tcW w:w="1170" w:type="dxa"/>
          </w:tcPr>
          <w:p>
            <w:pPr/>
            <w:r>
              <w:t xml:space="preserve">Gestión</w:t>
            </w:r>
          </w:p>
        </w:tc>
        <w:tc>
          <w:tcPr>
            <w:tcW w:w="1170" w:type="dxa"/>
          </w:tcPr>
          <w:p>
            <w:pPr/>
            <w:r>
              <w:t xml:space="preserve">Procesos clave están fuera del alcance PMO.</w:t>
            </w:r>
          </w:p>
        </w:tc>
        <w:tc>
          <w:tcPr>
            <w:tcW w:w="1789" w:type="dxa"/>
          </w:tcPr>
          <w:p>
            <w:pPr/>
            <w:r>
              <w:t xml:space="preserve">33 actividades dicen "No figura en PMO", entre ellas las 7 de Ejecución presupuestaria (181–187) y 6 de las 9 de Gestión de pagos.</w:t>
            </w:r>
          </w:p>
        </w:tc>
        <w:tc>
          <w:tcPr>
            <w:tcW w:w="1170" w:type="dxa"/>
          </w:tcPr>
          <w:p>
            <w:pPr/>
            <w:r>
              <w:t xml:space="preserve">Riesgo de que no tengan presupuesto ni prioridad en la fábrica de software.</w:t>
            </w:r>
          </w:p>
        </w:tc>
        <w:tc>
          <w:tcPr>
            <w:tcW w:w="1001" w:type="dxa"/>
          </w:tcPr>
          <w:p>
            <w:pPr/>
            <w:r>
              <w:t xml:space="preserve">Media</w:t>
            </w:r>
          </w:p>
        </w:tc>
        <w:tc>
          <w:tcPr>
            <w:tcW w:w="1170" w:type="dxa"/>
          </w:tcPr>
          <w:p>
            <w:pPr/>
            <w:r>
              <w:t xml:space="preserve">Que la Coordinación decida si se incorporan al PMO.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1170" w:type="dxa"/>
          </w:tcPr>
          <w:p>
            <w:pPr/>
            <w:r>
              <w:t xml:space="preserve">Abastecimiento, GFRH, Tesorería y Endeudamiento</w:t>
            </w:r>
          </w:p>
        </w:tc>
        <w:tc>
          <w:tcPr>
            <w:tcW w:w="1170" w:type="dxa"/>
          </w:tcPr>
          <w:p>
            <w:pPr/>
            <w:r>
              <w:t xml:space="preserve">Evaluación</w:t>
            </w:r>
          </w:p>
        </w:tc>
        <w:tc>
          <w:tcPr>
            <w:tcW w:w="1170" w:type="dxa"/>
          </w:tcPr>
          <w:p>
            <w:pPr/>
            <w:r>
              <w:t xml:space="preserve">Estos cuatro sistemas no tienen procesos de Evaluación.</w:t>
            </w:r>
          </w:p>
        </w:tc>
        <w:tc>
          <w:tcPr>
            <w:tcW w:w="1789" w:type="dxa"/>
          </w:tcPr>
          <w:p>
            <w:pPr/>
            <w:r>
              <w:t xml:space="preserve">El Macroproceso de Evaluación solo tiene actividades de Contabilidad, Inversiones y Presupuesto, y termina el 16/09/2028, 468 días antes que Gestión.</w:t>
            </w:r>
          </w:p>
        </w:tc>
        <w:tc>
          <w:tcPr>
            <w:tcW w:w="1170" w:type="dxa"/>
          </w:tcPr>
          <w:p>
            <w:pPr/>
            <w:r>
              <w:t xml:space="preserve">La Evaluación no cubre deuda, liquidez, adquisiciones ni planillas.</w:t>
            </w:r>
          </w:p>
        </w:tc>
        <w:tc>
          <w:tcPr>
            <w:tcW w:w="1001" w:type="dxa"/>
          </w:tcPr>
          <w:p>
            <w:pPr/>
            <w:r>
              <w:t xml:space="preserve">Media</w:t>
            </w:r>
          </w:p>
        </w:tc>
        <w:tc>
          <w:tcPr>
            <w:tcW w:w="1170" w:type="dxa"/>
          </w:tcPr>
          <w:p>
            <w:pPr/>
            <w:r>
              <w:t xml:space="preserve">Confirmar si es una decisión de alcance o un faltante.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1170" w:type="dxa"/>
          </w:tcPr>
          <w:p>
            <w:pPr/>
            <w:r>
              <w:t xml:space="preserve">Presupuesto e Inversiones</w:t>
            </w:r>
          </w:p>
        </w:tc>
        <w:tc>
          <w:tcPr>
            <w:tcW w:w="1170" w:type="dxa"/>
          </w:tcPr>
          <w:p>
            <w:pPr/>
            <w:r>
              <w:t xml:space="preserve">Gestión → Evaluación</w:t>
            </w:r>
          </w:p>
        </w:tc>
        <w:tc>
          <w:tcPr>
            <w:tcW w:w="1170" w:type="dxa"/>
          </w:tcPr>
          <w:p>
            <w:pPr/>
            <w:r>
              <w:t xml:space="preserve">La Evaluación empieza antes de que termine el diseño de la Gestión que la alimenta.</w:t>
            </w:r>
          </w:p>
        </w:tc>
        <w:tc>
          <w:tcPr>
            <w:tcW w:w="1789" w:type="dxa"/>
          </w:tcPr>
          <w:p>
            <w:pPr/>
            <w:r>
              <w:t xml:space="preserve">Seguimiento de metas (366): desde 04/10/2027; la Ejecución (180) termina el 22/11/2027. Seguimiento físico y financiero (350): desde 01/08/2027; la Gestión administrativa (188) termina el 30/08/2027.</w:t>
            </w:r>
          </w:p>
        </w:tc>
        <w:tc>
          <w:tcPr>
            <w:tcW w:w="1170" w:type="dxa"/>
          </w:tcPr>
          <w:p>
            <w:pPr/>
            <w:r>
              <w:t xml:space="preserve">Viable con entregas parciales.</w:t>
            </w:r>
          </w:p>
        </w:tc>
        <w:tc>
          <w:tcPr>
            <w:tcW w:w="1001" w:type="dxa"/>
          </w:tcPr>
          <w:p>
            <w:pPr/>
            <w:r>
              <w:t xml:space="preserve">Media</w:t>
            </w:r>
          </w:p>
        </w:tc>
        <w:tc>
          <w:tcPr>
            <w:tcW w:w="1170" w:type="dxa"/>
          </w:tcPr>
          <w:p>
            <w:pPr/>
            <w:r>
              <w:t xml:space="preserve">Registrar los vínculos fin–comienzo con un desfase negativo y definir la versión mínima.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1170" w:type="dxa"/>
          </w:tcPr>
          <w:p>
            <w:pPr/>
            <w:r>
              <w:t xml:space="preserve">Endeudamiento y Presupuesto</w:t>
            </w:r>
          </w:p>
        </w:tc>
        <w:tc>
          <w:tcPr>
            <w:tcW w:w="1170" w:type="dxa"/>
          </w:tcPr>
          <w:p>
            <w:pPr/>
            <w:r>
              <w:t xml:space="preserve">Gestión</w:t>
            </w:r>
          </w:p>
        </w:tc>
        <w:tc>
          <w:tcPr>
            <w:tcW w:w="1170" w:type="dxa"/>
          </w:tcPr>
          <w:p>
            <w:pPr/>
            <w:r>
              <w:t xml:space="preserve">La ejecución de gastos de deuda termina antes que la emisión de instrucciones de pago.</w:t>
            </w:r>
          </w:p>
        </w:tc>
        <w:tc>
          <w:tcPr>
            <w:tcW w:w="1789" w:type="dxa"/>
          </w:tcPr>
          <w:p>
            <w:pPr/>
            <w:r>
              <w:t xml:space="preserve">Ejecución de gastos de operaciones de endeudamiento (186): fin 15/10/2027. Compromiso y devengado del servicio de deuda (269): fin 25/11/2027.</w:t>
            </w:r>
          </w:p>
        </w:tc>
        <w:tc>
          <w:tcPr>
            <w:tcW w:w="1170" w:type="dxa"/>
          </w:tcPr>
          <w:p>
            <w:pPr/>
            <w:r>
              <w:t xml:space="preserve">Desalineación de 41 días.</w:t>
            </w:r>
          </w:p>
        </w:tc>
        <w:tc>
          <w:tcPr>
            <w:tcW w:w="1001" w:type="dxa"/>
          </w:tcPr>
          <w:p>
            <w:pPr/>
            <w:r>
              <w:t xml:space="preserve">Media</w:t>
            </w:r>
          </w:p>
        </w:tc>
        <w:tc>
          <w:tcPr>
            <w:tcW w:w="1170" w:type="dxa"/>
          </w:tcPr>
          <w:p>
            <w:pPr/>
            <w:r>
              <w:t xml:space="preserve">Alinear el fin de 186 con el de 269, o al revés.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1170" w:type="dxa"/>
          </w:tcPr>
          <w:p>
            <w:pPr/>
            <w:r>
              <w:t xml:space="preserve">Transversal</w:t>
            </w:r>
          </w:p>
        </w:tc>
        <w:tc>
          <w:tcPr>
            <w:tcW w:w="1170" w:type="dxa"/>
          </w:tcPr>
          <w:p>
            <w:pPr/>
            <w:r>
              <w:t xml:space="preserve">Los cuatro</w:t>
            </w:r>
          </w:p>
        </w:tc>
        <w:tc>
          <w:tcPr>
            <w:tcW w:w="1170" w:type="dxa"/>
          </w:tcPr>
          <w:p>
            <w:pPr/>
            <w:r>
              <w:t xml:space="preserve">La calidad de los datos del cronograma es insuficiente para hacer seguimiento.</w:t>
            </w:r>
          </w:p>
        </w:tc>
        <w:tc>
          <w:tcPr>
            <w:tcW w:w="1789" w:type="dxa"/>
          </w:tcPr>
          <w:p>
            <w:pPr/>
            <w:r>
              <w:t xml:space="preserve">6 tareas vencidas al 99 % (25, 46, 59, 60, 62, 63). 8 tareas que debieron iniciar siguen en 0 % (48, 51, 81, 130, 250, 251, 359, 360). El Estado UCP no coincide con el avance (filas 47, 138, 144, 168). Hay duplicados (141–142, 69/75) y una "&lt;Tarea nueva&gt;" (81).</w:t>
            </w:r>
          </w:p>
        </w:tc>
        <w:tc>
          <w:tcPr>
            <w:tcW w:w="1170" w:type="dxa"/>
          </w:tcPr>
          <w:p>
            <w:pPr/>
            <w:r>
              <w:t xml:space="preserve">Los reportes de avance pueden inducir a error.</w:t>
            </w:r>
          </w:p>
        </w:tc>
        <w:tc>
          <w:tcPr>
            <w:tcW w:w="1001" w:type="dxa"/>
          </w:tcPr>
          <w:p>
            <w:pPr/>
            <w:r>
              <w:t xml:space="preserve">Media</w:t>
            </w:r>
          </w:p>
        </w:tc>
        <w:tc>
          <w:tcPr>
            <w:tcW w:w="1170" w:type="dxa"/>
          </w:tcPr>
          <w:p>
            <w:pPr/>
            <w:r>
              <w:t xml:space="preserve">Depurar el archivo antes de guardar la línea base.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15</w:t>
            </w:r>
          </w:p>
        </w:tc>
        <w:tc>
          <w:tcPr>
            <w:tcW w:w="1170" w:type="dxa"/>
          </w:tcPr>
          <w:p>
            <w:pPr/>
            <w:r>
              <w:t xml:space="preserve">Abastecimiento</w:t>
            </w:r>
          </w:p>
        </w:tc>
        <w:tc>
          <w:tcPr>
            <w:tcW w:w="1170" w:type="dxa"/>
          </w:tcPr>
          <w:p>
            <w:pPr/>
            <w:r>
              <w:t xml:space="preserve">Programación → Gestión</w:t>
            </w:r>
          </w:p>
        </w:tc>
        <w:tc>
          <w:tcPr>
            <w:tcW w:w="1170" w:type="dxa"/>
          </w:tcPr>
          <w:p>
            <w:pPr/>
            <w:r>
              <w:t xml:space="preserve">Las actuaciones preparatorias empiezan antes de que terminen el CMN y el PAC.</w:t>
            </w:r>
          </w:p>
        </w:tc>
        <w:tc>
          <w:tcPr>
            <w:tcW w:w="1789" w:type="dxa"/>
          </w:tcPr>
          <w:p>
            <w:pPr/>
            <w:r>
              <w:t xml:space="preserve">CMN Programación (153): fin 25/01/2027. PAC (155, "No figura en PMO"): fin 11/01/2027. Actuaciones preparatorias (195): inicio 12/01/2027.</w:t>
            </w:r>
          </w:p>
        </w:tc>
        <w:tc>
          <w:tcPr>
            <w:tcW w:w="1170" w:type="dxa"/>
          </w:tcPr>
          <w:p>
            <w:pPr/>
            <w:r>
              <w:t xml:space="preserve">Solapamiento de 13 días, viable de forma progresiva.</w:t>
            </w:r>
          </w:p>
        </w:tc>
        <w:tc>
          <w:tcPr>
            <w:tcW w:w="1001" w:type="dxa"/>
          </w:tcPr>
          <w:p>
            <w:pPr/>
            <w:r>
              <w:t xml:space="preserve">Media</w:t>
            </w:r>
          </w:p>
        </w:tc>
        <w:tc>
          <w:tcPr>
            <w:tcW w:w="1170" w:type="dxa"/>
          </w:tcPr>
          <w:p>
            <w:pPr/>
            <w:r>
              <w:t xml:space="preserve">Registrar los vínculos e incorporar el PAC al PMO.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16</w:t>
            </w:r>
          </w:p>
        </w:tc>
        <w:tc>
          <w:tcPr>
            <w:tcW w:w="1170" w:type="dxa"/>
          </w:tcPr>
          <w:p>
            <w:pPr/>
            <w:r>
              <w:t xml:space="preserve">GFRH</w:t>
            </w:r>
          </w:p>
        </w:tc>
        <w:tc>
          <w:tcPr>
            <w:tcW w:w="1170" w:type="dxa"/>
          </w:tcPr>
          <w:p>
            <w:pPr/>
            <w:r>
              <w:t xml:space="preserve">Gestión</w:t>
            </w:r>
          </w:p>
        </w:tc>
        <w:tc>
          <w:tcPr>
            <w:tcW w:w="1170" w:type="dxa"/>
          </w:tcPr>
          <w:p>
            <w:pPr/>
            <w:r>
              <w:t xml:space="preserve">GFRH concluyó entre 8 y 9 meses antes que sus receptores.</w:t>
            </w:r>
          </w:p>
        </w:tc>
        <w:tc>
          <w:tcPr>
            <w:tcW w:w="1789" w:type="dxa"/>
          </w:tcPr>
          <w:p>
            <w:pPr/>
            <w:r>
              <w:t xml:space="preserve">Planillas (216): fin 30/09/2026. Ejecución de gastos de gestión fiscal (182): desde 16/06/2027. Gestión de pagos: desde 20/04/2027.</w:t>
            </w:r>
          </w:p>
        </w:tc>
        <w:tc>
          <w:tcPr>
            <w:tcW w:w="1170" w:type="dxa"/>
          </w:tcPr>
          <w:p>
            <w:pPr/>
            <w:r>
              <w:t xml:space="preserve">La prueba integrada será tardía y podría exigir ajustes a diseños ya cerrados.</w:t>
            </w:r>
          </w:p>
        </w:tc>
        <w:tc>
          <w:tcPr>
            <w:tcW w:w="1001" w:type="dxa"/>
          </w:tcPr>
          <w:p>
            <w:pPr/>
            <w:r>
              <w:t xml:space="preserve">Baja</w:t>
            </w:r>
          </w:p>
        </w:tc>
        <w:tc>
          <w:tcPr>
            <w:tcW w:w="1170" w:type="dxa"/>
          </w:tcPr>
          <w:p>
            <w:pPr/>
            <w:r>
              <w:t xml:space="preserve">Que GFRH participe en la revisión de los MFD de 182 y de pagos.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17</w:t>
            </w:r>
          </w:p>
        </w:tc>
        <w:tc>
          <w:tcPr>
            <w:tcW w:w="1170" w:type="dxa"/>
          </w:tcPr>
          <w:p>
            <w:pPr/>
            <w:r>
              <w:t xml:space="preserve">Contabilidad</w:t>
            </w:r>
          </w:p>
        </w:tc>
        <w:tc>
          <w:tcPr>
            <w:tcW w:w="1170" w:type="dxa"/>
          </w:tcPr>
          <w:p>
            <w:pPr/>
            <w:r>
              <w:t xml:space="preserve">Catálogos → Evaluación</w:t>
            </w:r>
          </w:p>
        </w:tc>
        <w:tc>
          <w:tcPr>
            <w:tcW w:w="1170" w:type="dxa"/>
          </w:tcPr>
          <w:p>
            <w:pPr/>
            <w:r>
              <w:t xml:space="preserve">El catálogo de consolidación termina 6 días después del inicio de la Consolidación.</w:t>
            </w:r>
          </w:p>
        </w:tc>
        <w:tc>
          <w:tcPr>
            <w:tcW w:w="1789" w:type="dxa"/>
          </w:tcPr>
          <w:p>
            <w:pPr/>
            <w:r>
              <w:t xml:space="preserve">Catálogos 108–109: fin 21/10/2027. Consolidación (356–357): inicio 15/10/2027.</w:t>
            </w:r>
          </w:p>
        </w:tc>
        <w:tc>
          <w:tcPr>
            <w:tcW w:w="1170" w:type="dxa"/>
          </w:tcPr>
          <w:p>
            <w:pPr/>
            <w:r>
              <w:t xml:space="preserve">Menor.</w:t>
            </w:r>
          </w:p>
        </w:tc>
        <w:tc>
          <w:tcPr>
            <w:tcW w:w="1001" w:type="dxa"/>
          </w:tcPr>
          <w:p>
            <w:pPr/>
            <w:r>
              <w:t xml:space="preserve">Baja</w:t>
            </w:r>
          </w:p>
        </w:tc>
        <w:tc>
          <w:tcPr>
            <w:tcW w:w="1170" w:type="dxa"/>
          </w:tcPr>
          <w:p>
            <w:pPr/>
            <w:r>
              <w:t xml:space="preserve">Adelantar el fin 13 días o aceptar el solapamiento.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18</w:t>
            </w:r>
          </w:p>
        </w:tc>
        <w:tc>
          <w:tcPr>
            <w:tcW w:w="1170" w:type="dxa"/>
          </w:tcPr>
          <w:p>
            <w:pPr/>
            <w:r>
              <w:t xml:space="preserve">Presupuesto</w:t>
            </w:r>
          </w:p>
        </w:tc>
        <w:tc>
          <w:tcPr>
            <w:tcW w:w="1170" w:type="dxa"/>
          </w:tcPr>
          <w:p>
            <w:pPr/>
            <w:r>
              <w:t xml:space="preserve">Gestión</w:t>
            </w:r>
          </w:p>
        </w:tc>
        <w:tc>
          <w:tcPr>
            <w:tcW w:w="1170" w:type="dxa"/>
          </w:tcPr>
          <w:p>
            <w:pPr/>
            <w:r>
              <w:t xml:space="preserve">La Ejecución depende de las cuotas de compromiso con 1 día de margen.</w:t>
            </w:r>
          </w:p>
        </w:tc>
        <w:tc>
          <w:tcPr>
            <w:tcW w:w="1789" w:type="dxa"/>
          </w:tcPr>
          <w:p>
            <w:pPr/>
            <w:r>
              <w:t xml:space="preserve">Cuotas (175–176, "Por validar"): fin 31/05/2027. Ejecución (180): inicio 01/06/2027.</w:t>
            </w:r>
          </w:p>
        </w:tc>
        <w:tc>
          <w:tcPr>
            <w:tcW w:w="1170" w:type="dxa"/>
          </w:tcPr>
          <w:p>
            <w:pPr/>
            <w:r>
              <w:t xml:space="preserve">Cualquier atraso se traslada a la Ejecución.</w:t>
            </w:r>
          </w:p>
        </w:tc>
        <w:tc>
          <w:tcPr>
            <w:tcW w:w="1001" w:type="dxa"/>
          </w:tcPr>
          <w:p>
            <w:pPr/>
            <w:r>
              <w:t xml:space="preserve">Baja</w:t>
            </w:r>
          </w:p>
        </w:tc>
        <w:tc>
          <w:tcPr>
            <w:tcW w:w="1170" w:type="dxa"/>
          </w:tcPr>
          <w:p>
            <w:pPr/>
            <w:r>
              <w:t xml:space="preserve">Validar las cuotas y vincularlas.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19</w:t>
            </w:r>
          </w:p>
        </w:tc>
        <w:tc>
          <w:tcPr>
            <w:tcW w:w="1170" w:type="dxa"/>
          </w:tcPr>
          <w:p>
            <w:pPr/>
            <w:r>
              <w:t xml:space="preserve">Abastecimiento</w:t>
            </w:r>
          </w:p>
        </w:tc>
        <w:tc>
          <w:tcPr>
            <w:tcW w:w="1170" w:type="dxa"/>
          </w:tcPr>
          <w:p>
            <w:pPr/>
            <w:r>
              <w:t xml:space="preserve">Catálogos → Gestión</w:t>
            </w:r>
          </w:p>
        </w:tc>
        <w:tc>
          <w:tcPr>
            <w:tcW w:w="1170" w:type="dxa"/>
          </w:tcPr>
          <w:p>
            <w:pPr/>
            <w:r>
              <w:t xml:space="preserve">Los catálogos de almacén se concluyeron 939 días antes de usarse.</w:t>
            </w:r>
          </w:p>
        </w:tc>
        <w:tc>
          <w:tcPr>
            <w:tcW w:w="1789" w:type="dxa"/>
          </w:tcPr>
          <w:p>
            <w:pPr/>
            <w:r>
              <w:t xml:space="preserve">Catálogos 70–74: fin 16/06/2026. Logística de entrada (204): inicio 10/01/2029.</w:t>
            </w:r>
          </w:p>
        </w:tc>
        <w:tc>
          <w:tcPr>
            <w:tcW w:w="1170" w:type="dxa"/>
          </w:tcPr>
          <w:p>
            <w:pPr/>
            <w:r>
              <w:t xml:space="preserve">Riesgo de que queden desactualizados.</w:t>
            </w:r>
          </w:p>
        </w:tc>
        <w:tc>
          <w:tcPr>
            <w:tcW w:w="1001" w:type="dxa"/>
          </w:tcPr>
          <w:p>
            <w:pPr/>
            <w:r>
              <w:t xml:space="preserve">Baja</w:t>
            </w:r>
          </w:p>
        </w:tc>
        <w:tc>
          <w:tcPr>
            <w:tcW w:w="1170" w:type="dxa"/>
          </w:tcPr>
          <w:p>
            <w:pPr/>
            <w:r>
              <w:t xml:space="preserve">Prever una revisión de estos catálogos en 2028.</w:t>
            </w:r>
          </w:p>
        </w:tc>
      </w:tr>
    </w:tbl>
    <w:p>
      <w:pPr>
        <w:pStyle w:val="Heading2"/>
      </w:pPr>
      <w:r>
        <w:t xml:space="preserve">7. Ajustes necesarios del cronograma</w:t>
      </w:r>
    </w:p>
    <w:p>
      <w:pPr/>
      <w:r>
        <w:t xml:space="preserve">Se proponen 12 ajustes. Siete adelantan predecesoras, tres retrasan procesos dependientes, uno agrega una actividad nueva y uno queda pendiente de decisión. Ninguno toca actividades completadas. Las fechas propuestas son calculables, pero </w:t>
      </w:r>
      <w:r>
        <w:rPr>
          <w:b/>
        </w:rPr>
        <w:t xml:space="preserve">no están verificadas en viabilidad</w:t>
      </w:r>
      <w:r>
        <w:t xml:space="preserve">: el .mpp no tiene recursos asignados, así que no se puede comprobar la capacidad de los CAF ni de la fábrica de software. Cada ajuste debe validarse antes de incorporarse.</w:t>
      </w:r>
    </w:p>
    <w:p>
      <w:pPr/>
      <w:r>
        <w:rPr>
          <w:b/>
        </w:rPr>
        <w:t xml:space="preserve">Cuadro 5. Propuesta de ajustes del cronograma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936"/>
        <w:gridCol w:w="936"/>
        <w:gridCol w:w="936"/>
        <w:gridCol w:w="936"/>
        <w:gridCol w:w="909"/>
        <w:gridCol w:w="1076"/>
        <w:gridCol w:w="1039"/>
        <w:gridCol w:w="936"/>
        <w:gridCol w:w="93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N.º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Sistema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Proceso o actividad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Fecha actual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Fecha propuesta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Ajuste (días)</w:t>
            </w:r>
          </w:p>
        </w:tc>
        <w:tc>
          <w:tcPr>
            <w:tcW w:w="1076" w:type="dxa"/>
            <w:shd w:val="clear" w:color="auto" w:fill="F2F2F2"/>
          </w:tcPr>
          <w:p>
            <w:pPr/>
            <w:r>
              <w:t xml:space="preserve">Justificación funcional</w:t>
            </w:r>
          </w:p>
        </w:tc>
        <w:tc>
          <w:tcPr>
            <w:tcW w:w="1039" w:type="dxa"/>
            <w:shd w:val="clear" w:color="auto" w:fill="F2F2F2"/>
          </w:tcPr>
          <w:p>
            <w:pPr/>
            <w:r>
              <w:t xml:space="preserve">Impacto en otros sistemas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Prioridad</w:t>
            </w:r>
          </w:p>
        </w:tc>
        <w:tc>
          <w:tcPr>
            <w:tcW w:w="936" w:type="dxa"/>
            <w:shd w:val="clear" w:color="auto" w:fill="F2F2F2"/>
          </w:tcPr>
          <w:p>
            <w:pPr/>
            <w:r>
              <w:t xml:space="preserve">Tipo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936" w:type="dxa"/>
          </w:tcPr>
          <w:p>
            <w:pPr/>
            <w:r>
              <w:t xml:space="preserve">Tesorería</w:t>
            </w:r>
          </w:p>
        </w:tc>
        <w:tc>
          <w:tcPr>
            <w:tcW w:w="936" w:type="dxa"/>
          </w:tcPr>
          <w:p>
            <w:pPr/>
            <w:r>
              <w:t xml:space="preserve">Flujos de caja diarios (162) y Asignación de pago (163)</w:t>
            </w:r>
          </w:p>
        </w:tc>
        <w:tc>
          <w:tcPr>
            <w:tcW w:w="936" w:type="dxa"/>
          </w:tcPr>
          <w:p>
            <w:pPr/>
            <w:r>
              <w:t xml:space="preserve">01/03/2028 – 31/05/2028</w:t>
            </w:r>
          </w:p>
        </w:tc>
        <w:tc>
          <w:tcPr>
            <w:tcW w:w="936" w:type="dxa"/>
          </w:tcPr>
          <w:p>
            <w:pPr/>
            <w:r>
              <w:t xml:space="preserve">04/01/2027 – 05/04/2027 (162 hasta 03/03; 163 del 04/03 al 05/04)</w:t>
            </w:r>
          </w:p>
        </w:tc>
        <w:tc>
          <w:tcPr>
            <w:tcW w:w="909" w:type="dxa"/>
          </w:tcPr>
          <w:p>
            <w:pPr/>
            <w:r>
              <w:t xml:space="preserve">−422</w:t>
            </w:r>
          </w:p>
        </w:tc>
        <w:tc>
          <w:tcPr>
            <w:tcW w:w="1076" w:type="dxa"/>
          </w:tcPr>
          <w:p>
            <w:pPr/>
            <w:r>
              <w:t xml:space="preserve">La cuota de pago debe existir antes del primer proceso de pagos (20/04/2027). Se conservan las duraciones en días calendario.</w:t>
            </w:r>
          </w:p>
        </w:tc>
        <w:tc>
          <w:tcPr>
            <w:tcW w:w="1039" w:type="dxa"/>
          </w:tcPr>
          <w:p>
            <w:pPr/>
            <w:r>
              <w:t xml:space="preserve">Programación termina el 30/06/2027 en lugar del 31/05/2028. Los procesos de Endeudamiento que liquidan y pagan ya contarán con la cuota. Se solapa con los Flujos de caja proyectados (161).</w:t>
            </w:r>
          </w:p>
        </w:tc>
        <w:tc>
          <w:tcPr>
            <w:tcW w:w="936" w:type="dxa"/>
          </w:tcPr>
          <w:p>
            <w:pPr/>
            <w:r>
              <w:t xml:space="preserve">Alta</w:t>
            </w:r>
          </w:p>
        </w:tc>
        <w:tc>
          <w:tcPr>
            <w:tcW w:w="936" w:type="dxa"/>
          </w:tcPr>
          <w:p>
            <w:pPr/>
            <w:r>
              <w:t xml:space="preserve">Requiere validación del CAF de Tesorería (carga simultánea con 160, 161, 245 y 249–251)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936" w:type="dxa"/>
          </w:tcPr>
          <w:p>
            <w:pPr/>
            <w:r>
              <w:t xml:space="preserve">Ejecución de gastos de bienes, servicios y obras (181): dividir en compromiso y devengado</w:t>
            </w:r>
          </w:p>
        </w:tc>
        <w:tc>
          <w:tcPr>
            <w:tcW w:w="936" w:type="dxa"/>
          </w:tcPr>
          <w:p>
            <w:pPr/>
            <w:r>
              <w:t xml:space="preserve">01/06/2027 – 31/07/2027</w:t>
            </w:r>
          </w:p>
        </w:tc>
        <w:tc>
          <w:tcPr>
            <w:tcW w:w="936" w:type="dxa"/>
          </w:tcPr>
          <w:p>
            <w:pPr/>
            <w:r>
              <w:t xml:space="preserve">Compromiso: 04/10/2027 – 03/12/2027. Devengado: 10/01/2028 – 10/03/2028</w:t>
            </w:r>
          </w:p>
        </w:tc>
        <w:tc>
          <w:tcPr>
            <w:tcW w:w="909" w:type="dxa"/>
          </w:tcPr>
          <w:p>
            <w:pPr/>
            <w:r>
              <w:t xml:space="preserve">+125 / +223</w:t>
            </w:r>
          </w:p>
        </w:tc>
        <w:tc>
          <w:tcPr>
            <w:tcW w:w="1076" w:type="dxa"/>
          </w:tcPr>
          <w:p>
            <w:pPr/>
            <w:r>
              <w:t xml:space="preserve">Adelantar la OC/OS (196) y la Conformidad (197) no es viable porque dependen de las Actuaciones preparatorias (195), que terminan el 31/08/2027.</w:t>
            </w:r>
          </w:p>
        </w:tc>
        <w:tc>
          <w:tcPr>
            <w:tcW w:w="1039" w:type="dxa"/>
          </w:tcPr>
          <w:p>
            <w:pPr/>
            <w:r>
              <w:t xml:space="preserve">Mueve el fin del módulo de Ejecución al 10/03/2028. Afecta la Evaluación presupuestaria (hasta 24/03/2028) y los procesos contables de la fila 359.</w:t>
            </w:r>
          </w:p>
        </w:tc>
        <w:tc>
          <w:tcPr>
            <w:tcW w:w="936" w:type="dxa"/>
          </w:tcPr>
          <w:p>
            <w:pPr/>
            <w:r>
              <w:t xml:space="preserve">Alta</w:t>
            </w:r>
          </w:p>
        </w:tc>
        <w:tc>
          <w:tcPr>
            <w:tcW w:w="936" w:type="dxa"/>
          </w:tcPr>
          <w:p>
            <w:pPr/>
            <w:r>
              <w:t xml:space="preserve">Requiere decisión de la Coordinación y del CAF de Presupuesto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936" w:type="dxa"/>
          </w:tcPr>
          <w:p>
            <w:pPr/>
            <w:r>
              <w:t xml:space="preserve">Administrador de Metas (140)</w:t>
            </w:r>
          </w:p>
        </w:tc>
        <w:tc>
          <w:tcPr>
            <w:tcW w:w="936" w:type="dxa"/>
          </w:tcPr>
          <w:p>
            <w:pPr/>
            <w:r>
              <w:t xml:space="preserve">01/12/2026 – 22/03/2027</w:t>
            </w:r>
          </w:p>
        </w:tc>
        <w:tc>
          <w:tcPr>
            <w:tcW w:w="936" w:type="dxa"/>
          </w:tcPr>
          <w:p>
            <w:pPr/>
            <w:r>
              <w:t xml:space="preserve">26/10/2026 – 15/01/2027</w:t>
            </w:r>
          </w:p>
        </w:tc>
        <w:tc>
          <w:tcPr>
            <w:tcW w:w="909" w:type="dxa"/>
          </w:tcPr>
          <w:p>
            <w:pPr/>
            <w:r>
              <w:t xml:space="preserve">−66 (fin)</w:t>
            </w:r>
          </w:p>
        </w:tc>
        <w:tc>
          <w:tcPr>
            <w:tcW w:w="1076" w:type="dxa"/>
          </w:tcPr>
          <w:p>
            <w:pPr/>
            <w:r>
              <w:t xml:space="preserve">Las metas deben estar antes del fin de la Formulación (19/01/2027).</w:t>
            </w:r>
          </w:p>
        </w:tc>
        <w:tc>
          <w:tcPr>
            <w:tcW w:w="1039" w:type="dxa"/>
          </w:tcPr>
          <w:p>
            <w:pPr/>
            <w:r>
              <w:t xml:space="preserve">Habilita la Formulación y la Aprobación. Sin impacto en otros sistemas.</w:t>
            </w:r>
          </w:p>
        </w:tc>
        <w:tc>
          <w:tcPr>
            <w:tcW w:w="936" w:type="dxa"/>
          </w:tcPr>
          <w:p>
            <w:pPr/>
            <w:r>
              <w:t xml:space="preserve">Alta</w:t>
            </w:r>
          </w:p>
        </w:tc>
        <w:tc>
          <w:tcPr>
            <w:tcW w:w="936" w:type="dxa"/>
          </w:tcPr>
          <w:p>
            <w:pPr/>
            <w:r>
              <w:t xml:space="preserve">Requiere validación: comprime la duración de unos 80 a unos 58 días hábiles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936" w:type="dxa"/>
          </w:tcPr>
          <w:p>
            <w:pPr/>
            <w:r>
              <w:t xml:space="preserve">Clasificadores de Cambio Climático (49) y Pueblos Indígenas (50)</w:t>
            </w:r>
          </w:p>
        </w:tc>
        <w:tc>
          <w:tcPr>
            <w:tcW w:w="936" w:type="dxa"/>
          </w:tcPr>
          <w:p>
            <w:pPr/>
            <w:r>
              <w:t xml:space="preserve">Fin 04/03/2027 y 31/03/2027</w:t>
            </w:r>
          </w:p>
        </w:tc>
        <w:tc>
          <w:tcPr>
            <w:tcW w:w="936" w:type="dxa"/>
          </w:tcPr>
          <w:p>
            <w:pPr/>
            <w:r>
              <w:t xml:space="preserve">26/10/2026 – 15/01/2027</w:t>
            </w:r>
          </w:p>
        </w:tc>
        <w:tc>
          <w:tcPr>
            <w:tcW w:w="909" w:type="dxa"/>
          </w:tcPr>
          <w:p>
            <w:pPr/>
            <w:r>
              <w:t xml:space="preserve">−48 y −75 (fin)</w:t>
            </w:r>
          </w:p>
        </w:tc>
        <w:tc>
          <w:tcPr>
            <w:tcW w:w="1076" w:type="dxa"/>
          </w:tcPr>
          <w:p>
            <w:pPr/>
            <w:r>
              <w:t xml:space="preserve">Se usan para etiquetar el gasto desde la Formulación.</w:t>
            </w:r>
          </w:p>
        </w:tc>
        <w:tc>
          <w:tcPr>
            <w:tcW w:w="1039" w:type="dxa"/>
          </w:tcPr>
          <w:p>
            <w:pPr/>
            <w:r>
              <w:t xml:space="preserve">Ninguno directo.</w:t>
            </w:r>
          </w:p>
        </w:tc>
        <w:tc>
          <w:tcPr>
            <w:tcW w:w="936" w:type="dxa"/>
          </w:tcPr>
          <w:p>
            <w:pPr/>
            <w:r>
              <w:t xml:space="preserve">Media</w:t>
            </w:r>
          </w:p>
        </w:tc>
        <w:tc>
          <w:tcPr>
            <w:tcW w:w="936" w:type="dxa"/>
          </w:tcPr>
          <w:p>
            <w:pPr/>
            <w:r>
              <w:t xml:space="preserve">Requiere decisión: adelantar, o aplicarlos desde la Formulación 2028 y mantener las fechas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936" w:type="dxa"/>
          </w:tcPr>
          <w:p>
            <w:pPr/>
            <w:r>
              <w:t xml:space="preserve">Relación Actividad por Finalidad (132) y Programas Presupuestales v2 (128)</w:t>
            </w:r>
          </w:p>
        </w:tc>
        <w:tc>
          <w:tcPr>
            <w:tcW w:w="936" w:type="dxa"/>
          </w:tcPr>
          <w:p>
            <w:pPr/>
            <w:r>
              <w:t xml:space="preserve">Fin 05/03/2027 y 25/01/2027</w:t>
            </w:r>
          </w:p>
        </w:tc>
        <w:tc>
          <w:tcPr>
            <w:tcW w:w="936" w:type="dxa"/>
          </w:tcPr>
          <w:p>
            <w:pPr/>
            <w:r>
              <w:t xml:space="preserve">Fin 15/01/2027</w:t>
            </w:r>
          </w:p>
        </w:tc>
        <w:tc>
          <w:tcPr>
            <w:tcW w:w="909" w:type="dxa"/>
          </w:tcPr>
          <w:p>
            <w:pPr/>
            <w:r>
              <w:t xml:space="preserve">−49 y −10</w:t>
            </w:r>
          </w:p>
        </w:tc>
        <w:tc>
          <w:tcPr>
            <w:tcW w:w="1076" w:type="dxa"/>
          </w:tcPr>
          <w:p>
            <w:pPr/>
            <w:r>
              <w:t xml:space="preserve">Forman parte de la estructura programática que usa la Formulación.</w:t>
            </w:r>
          </w:p>
        </w:tc>
        <w:tc>
          <w:tcPr>
            <w:tcW w:w="1039" w:type="dxa"/>
          </w:tcPr>
          <w:p>
            <w:pPr/>
            <w:r>
              <w:t xml:space="preserve">Ninguno directo.</w:t>
            </w:r>
          </w:p>
        </w:tc>
        <w:tc>
          <w:tcPr>
            <w:tcW w:w="936" w:type="dxa"/>
          </w:tcPr>
          <w:p>
            <w:pPr/>
            <w:r>
              <w:t xml:space="preserve">Alta</w:t>
            </w:r>
          </w:p>
        </w:tc>
        <w:tc>
          <w:tcPr>
            <w:tcW w:w="936" w:type="dxa"/>
          </w:tcPr>
          <w:p>
            <w:pPr/>
            <w:r>
              <w:t xml:space="preserve">Requiere incorporarlos al PMO y validar con el CAF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936" w:type="dxa"/>
          </w:tcPr>
          <w:p>
            <w:pPr/>
            <w:r>
              <w:t xml:space="preserve">Contabilidad</w:t>
            </w:r>
          </w:p>
        </w:tc>
        <w:tc>
          <w:tcPr>
            <w:tcW w:w="936" w:type="dxa"/>
          </w:tcPr>
          <w:p>
            <w:pPr/>
            <w:r>
              <w:t xml:space="preserve">Estados presupuestales y Cierre presupuestario (359–360)</w:t>
            </w:r>
          </w:p>
        </w:tc>
        <w:tc>
          <w:tcPr>
            <w:tcW w:w="936" w:type="dxa"/>
          </w:tcPr>
          <w:p>
            <w:pPr/>
            <w:r>
              <w:t xml:space="preserve">01/10/2026 – 06/02/2027</w:t>
            </w:r>
          </w:p>
        </w:tc>
        <w:tc>
          <w:tcPr>
            <w:tcW w:w="936" w:type="dxa"/>
          </w:tcPr>
          <w:p>
            <w:pPr/>
            <w:r>
              <w:t xml:space="preserve">23/11/2027 – 30/03/2028</w:t>
            </w:r>
          </w:p>
        </w:tc>
        <w:tc>
          <w:tcPr>
            <w:tcW w:w="909" w:type="dxa"/>
          </w:tcPr>
          <w:p>
            <w:pPr/>
            <w:r>
              <w:t xml:space="preserve">+418</w:t>
            </w:r>
          </w:p>
        </w:tc>
        <w:tc>
          <w:tcPr>
            <w:tcW w:w="1076" w:type="dxa"/>
          </w:tcPr>
          <w:p>
            <w:pPr/>
            <w:r>
              <w:t xml:space="preserve">Solo aplica si la fuente es el nuevo módulo de Ejecución (fin 22/11/2027).</w:t>
            </w:r>
          </w:p>
        </w:tc>
        <w:tc>
          <w:tcPr>
            <w:tcW w:w="1039" w:type="dxa"/>
          </w:tcPr>
          <w:p>
            <w:pPr/>
            <w:r>
              <w:t xml:space="preserve">Se solapa 8 días con la Cuenta General (363, desde 22/03/2028). Retrasa la Consolidación presupuestal (356).</w:t>
            </w:r>
          </w:p>
        </w:tc>
        <w:tc>
          <w:tcPr>
            <w:tcW w:w="936" w:type="dxa"/>
          </w:tcPr>
          <w:p>
            <w:pPr/>
            <w:r>
              <w:t xml:space="preserve">Alta</w:t>
            </w:r>
          </w:p>
        </w:tc>
        <w:tc>
          <w:tcPr>
            <w:tcW w:w="936" w:type="dxa"/>
          </w:tcPr>
          <w:p>
            <w:pPr/>
            <w:r>
              <w:t xml:space="preserve">Requiere decisión: si la fuente es el SIAF-SP, mantener fechas y documentarlo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936" w:type="dxa"/>
          </w:tcPr>
          <w:p>
            <w:pPr/>
            <w:r>
              <w:t xml:space="preserve">Contabilidad</w:t>
            </w:r>
          </w:p>
        </w:tc>
        <w:tc>
          <w:tcPr>
            <w:tcW w:w="936" w:type="dxa"/>
          </w:tcPr>
          <w:p>
            <w:pPr/>
            <w:r>
              <w:t xml:space="preserve">Nueva: Actualización 3 de Catálogo de Eventos y Motor</w:t>
            </w:r>
          </w:p>
        </w:tc>
        <w:tc>
          <w:tcPr>
            <w:tcW w:w="936" w:type="dxa"/>
          </w:tcPr>
          <w:p>
            <w:pPr/>
            <w:r>
              <w:t xml:space="preserve">No existe</w:t>
            </w:r>
          </w:p>
        </w:tc>
        <w:tc>
          <w:tcPr>
            <w:tcW w:w="936" w:type="dxa"/>
          </w:tcPr>
          <w:p>
            <w:pPr/>
            <w:r>
              <w:t xml:space="preserve">03/09/2029 – 28/12/2029</w:t>
            </w:r>
          </w:p>
        </w:tc>
        <w:tc>
          <w:tcPr>
            <w:tcW w:w="909" w:type="dxa"/>
          </w:tcPr>
          <w:p>
            <w:pPr/>
            <w:r>
              <w:t xml:space="preserve">Nueva</w:t>
            </w:r>
          </w:p>
        </w:tc>
        <w:tc>
          <w:tcPr>
            <w:tcW w:w="1076" w:type="dxa"/>
          </w:tcPr>
          <w:p>
            <w:pPr/>
            <w:r>
              <w:t xml:space="preserve">Cubre los eventos de Endeudamiento (etapa 2) y de Abastecimiento diseñados después del 22/09/2028.</w:t>
            </w:r>
          </w:p>
        </w:tc>
        <w:tc>
          <w:tcPr>
            <w:tcW w:w="1039" w:type="dxa"/>
          </w:tcPr>
          <w:p>
            <w:pPr/>
            <w:r>
              <w:t xml:space="preserve">Ninguno. Lo diseñado en septiembre–diciembre de 2029 requerirá una actualización posterior al horizonte.</w:t>
            </w:r>
          </w:p>
        </w:tc>
        <w:tc>
          <w:tcPr>
            <w:tcW w:w="936" w:type="dxa"/>
          </w:tcPr>
          <w:p>
            <w:pPr/>
            <w:r>
              <w:t xml:space="preserve">Media</w:t>
            </w:r>
          </w:p>
        </w:tc>
        <w:tc>
          <w:tcPr>
            <w:tcW w:w="936" w:type="dxa"/>
          </w:tcPr>
          <w:p>
            <w:pPr/>
            <w:r>
              <w:t xml:space="preserve">Requiere validación del CAF de Contabilidad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936" w:type="dxa"/>
          </w:tcPr>
          <w:p>
            <w:pPr/>
            <w:r>
              <w:t xml:space="preserve">Endeudamiento y Tesorería</w:t>
            </w:r>
          </w:p>
        </w:tc>
        <w:tc>
          <w:tcPr>
            <w:tcW w:w="936" w:type="dxa"/>
          </w:tcPr>
          <w:p>
            <w:pPr/>
            <w:r>
              <w:t xml:space="preserve">Proyección del servicio de deuda (167, 169, 170) y Recursos por OOC, RO y RD (160): entrega preliminar</w:t>
            </w:r>
          </w:p>
        </w:tc>
        <w:tc>
          <w:tcPr>
            <w:tcW w:w="936" w:type="dxa"/>
          </w:tcPr>
          <w:p>
            <w:pPr/>
            <w:r>
              <w:t xml:space="preserve">Fin 29/01/2027</w:t>
            </w:r>
          </w:p>
        </w:tc>
        <w:tc>
          <w:tcPr>
            <w:tcW w:w="936" w:type="dxa"/>
          </w:tcPr>
          <w:p>
            <w:pPr/>
            <w:r>
              <w:t xml:space="preserve">Versión preliminar al 15/01/2027</w:t>
            </w:r>
          </w:p>
        </w:tc>
        <w:tc>
          <w:tcPr>
            <w:tcW w:w="909" w:type="dxa"/>
          </w:tcPr>
          <w:p>
            <w:pPr/>
            <w:r>
              <w:t xml:space="preserve">−14</w:t>
            </w:r>
          </w:p>
        </w:tc>
        <w:tc>
          <w:tcPr>
            <w:tcW w:w="1076" w:type="dxa"/>
          </w:tcPr>
          <w:p>
            <w:pPr/>
            <w:r>
              <w:t xml:space="preserve">Insumo de la Formulación (fin 19/01/2027).</w:t>
            </w:r>
          </w:p>
        </w:tc>
        <w:tc>
          <w:tcPr>
            <w:tcW w:w="1039" w:type="dxa"/>
          </w:tcPr>
          <w:p>
            <w:pPr/>
            <w:r>
              <w:t xml:space="preserve">Requiere levantar la restricción "No finalizar antes del 29/01/2027" en 165 y 170.</w:t>
            </w:r>
          </w:p>
        </w:tc>
        <w:tc>
          <w:tcPr>
            <w:tcW w:w="936" w:type="dxa"/>
          </w:tcPr>
          <w:p>
            <w:pPr/>
            <w:r>
              <w:t xml:space="preserve">Media</w:t>
            </w:r>
          </w:p>
        </w:tc>
        <w:tc>
          <w:tcPr>
            <w:tcW w:w="936" w:type="dxa"/>
          </w:tcPr>
          <w:p>
            <w:pPr/>
            <w:r>
              <w:t xml:space="preserve">Calculable. La fila 160 está al 2 % y necesita validación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936" w:type="dxa"/>
          </w:tcPr>
          <w:p>
            <w:pPr/>
            <w:r>
              <w:t xml:space="preserve">Endeudamiento</w:t>
            </w:r>
          </w:p>
        </w:tc>
        <w:tc>
          <w:tcPr>
            <w:tcW w:w="936" w:type="dxa"/>
          </w:tcPr>
          <w:p>
            <w:pPr/>
            <w:r>
              <w:t xml:space="preserve">Catálogo relacional Deuda Inversión (82)</w:t>
            </w:r>
          </w:p>
        </w:tc>
        <w:tc>
          <w:tcPr>
            <w:tcW w:w="936" w:type="dxa"/>
          </w:tcPr>
          <w:p>
            <w:pPr/>
            <w:r>
              <w:t xml:space="preserve">02/11/2026 – 31/12/2026</w:t>
            </w:r>
          </w:p>
        </w:tc>
        <w:tc>
          <w:tcPr>
            <w:tcW w:w="936" w:type="dxa"/>
          </w:tcPr>
          <w:p>
            <w:pPr/>
            <w:r>
              <w:t xml:space="preserve">02/11/2026 – 27/11/2026</w:t>
            </w:r>
          </w:p>
        </w:tc>
        <w:tc>
          <w:tcPr>
            <w:tcW w:w="909" w:type="dxa"/>
          </w:tcPr>
          <w:p>
            <w:pPr/>
            <w:r>
              <w:t xml:space="preserve">−34 (fin)</w:t>
            </w:r>
          </w:p>
        </w:tc>
        <w:tc>
          <w:tcPr>
            <w:tcW w:w="1076" w:type="dxa"/>
          </w:tcPr>
          <w:p>
            <w:pPr/>
            <w:r>
              <w:t xml:space="preserve">Lo usan el Registro de estructura del proyecto (149) y la Concertación (256), que empiezan el 01/12/2026.</w:t>
            </w:r>
          </w:p>
        </w:tc>
        <w:tc>
          <w:tcPr>
            <w:tcW w:w="1039" w:type="dxa"/>
          </w:tcPr>
          <w:p>
            <w:pPr/>
            <w:r>
              <w:t xml:space="preserve">Habilita a Inversiones y Endeudamiento.</w:t>
            </w:r>
          </w:p>
        </w:tc>
        <w:tc>
          <w:tcPr>
            <w:tcW w:w="936" w:type="dxa"/>
          </w:tcPr>
          <w:p>
            <w:pPr/>
            <w:r>
              <w:t xml:space="preserve">Media</w:t>
            </w:r>
          </w:p>
        </w:tc>
        <w:tc>
          <w:tcPr>
            <w:tcW w:w="936" w:type="dxa"/>
          </w:tcPr>
          <w:p>
            <w:pPr/>
            <w:r>
              <w:t xml:space="preserve">Requiere validación (estado "Por actualizar")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936" w:type="dxa"/>
          </w:tcPr>
          <w:p>
            <w:pPr/>
            <w:r>
              <w:t xml:space="preserve">Presupuesto</w:t>
            </w:r>
          </w:p>
        </w:tc>
        <w:tc>
          <w:tcPr>
            <w:tcW w:w="936" w:type="dxa"/>
          </w:tcPr>
          <w:p>
            <w:pPr/>
            <w:r>
              <w:t xml:space="preserve">Ejecución de gastos de operaciones de endeudamiento (186)</w:t>
            </w:r>
          </w:p>
        </w:tc>
        <w:tc>
          <w:tcPr>
            <w:tcW w:w="936" w:type="dxa"/>
          </w:tcPr>
          <w:p>
            <w:pPr/>
            <w:r>
              <w:t xml:space="preserve">16/08/2027 – 15/10/2027</w:t>
            </w:r>
          </w:p>
        </w:tc>
        <w:tc>
          <w:tcPr>
            <w:tcW w:w="936" w:type="dxa"/>
          </w:tcPr>
          <w:p>
            <w:pPr/>
            <w:r>
              <w:t xml:space="preserve">16/08/2027 – 25/11/2027</w:t>
            </w:r>
          </w:p>
        </w:tc>
        <w:tc>
          <w:tcPr>
            <w:tcW w:w="909" w:type="dxa"/>
          </w:tcPr>
          <w:p>
            <w:pPr/>
            <w:r>
              <w:t xml:space="preserve">+41 (fin)</w:t>
            </w:r>
          </w:p>
        </w:tc>
        <w:tc>
          <w:tcPr>
            <w:tcW w:w="1076" w:type="dxa"/>
          </w:tcPr>
          <w:p>
            <w:pPr/>
            <w:r>
              <w:t xml:space="preserve">Debe cerrar después de las instrucciones de pago de deuda (269).</w:t>
            </w:r>
          </w:p>
        </w:tc>
        <w:tc>
          <w:tcPr>
            <w:tcW w:w="1039" w:type="dxa"/>
          </w:tcPr>
          <w:p>
            <w:pPr/>
            <w:r>
              <w:t xml:space="preserve">El módulo de Ejecución termina 3 días después (25/11/2027) si no se aplica el ajuste 2.</w:t>
            </w:r>
          </w:p>
        </w:tc>
        <w:tc>
          <w:tcPr>
            <w:tcW w:w="936" w:type="dxa"/>
          </w:tcPr>
          <w:p>
            <w:pPr/>
            <w:r>
              <w:t xml:space="preserve">Media</w:t>
            </w:r>
          </w:p>
        </w:tc>
        <w:tc>
          <w:tcPr>
            <w:tcW w:w="936" w:type="dxa"/>
          </w:tcPr>
          <w:p>
            <w:pPr/>
            <w:r>
              <w:t xml:space="preserve">Calculable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936" w:type="dxa"/>
          </w:tcPr>
          <w:p>
            <w:pPr/>
            <w:r>
              <w:t xml:space="preserve">Contabilidad</w:t>
            </w:r>
          </w:p>
        </w:tc>
        <w:tc>
          <w:tcPr>
            <w:tcW w:w="936" w:type="dxa"/>
          </w:tcPr>
          <w:p>
            <w:pPr/>
            <w:r>
              <w:t xml:space="preserve">Catálogos de Agregación y Consolidación (108–109)</w:t>
            </w:r>
          </w:p>
        </w:tc>
        <w:tc>
          <w:tcPr>
            <w:tcW w:w="936" w:type="dxa"/>
          </w:tcPr>
          <w:p>
            <w:pPr/>
            <w:r>
              <w:t xml:space="preserve">12/08/2027 – 21/10/2027</w:t>
            </w:r>
          </w:p>
        </w:tc>
        <w:tc>
          <w:tcPr>
            <w:tcW w:w="936" w:type="dxa"/>
          </w:tcPr>
          <w:p>
            <w:pPr/>
            <w:r>
              <w:t xml:space="preserve">12/08/2027 – 08/10/2027</w:t>
            </w:r>
          </w:p>
        </w:tc>
        <w:tc>
          <w:tcPr>
            <w:tcW w:w="909" w:type="dxa"/>
          </w:tcPr>
          <w:p>
            <w:pPr/>
            <w:r>
              <w:t xml:space="preserve">−13 (fin)</w:t>
            </w:r>
          </w:p>
        </w:tc>
        <w:tc>
          <w:tcPr>
            <w:tcW w:w="1076" w:type="dxa"/>
          </w:tcPr>
          <w:p>
            <w:pPr/>
            <w:r>
              <w:t xml:space="preserve">Deben estar listos antes de la Consolidación (15/10/2027).</w:t>
            </w:r>
          </w:p>
        </w:tc>
        <w:tc>
          <w:tcPr>
            <w:tcW w:w="1039" w:type="dxa"/>
          </w:tcPr>
          <w:p>
            <w:pPr/>
            <w:r>
              <w:t xml:space="preserve">Ninguno.</w:t>
            </w:r>
          </w:p>
        </w:tc>
        <w:tc>
          <w:tcPr>
            <w:tcW w:w="936" w:type="dxa"/>
          </w:tcPr>
          <w:p>
            <w:pPr/>
            <w:r>
              <w:t xml:space="preserve">Baja</w:t>
            </w:r>
          </w:p>
        </w:tc>
        <w:tc>
          <w:tcPr>
            <w:tcW w:w="936" w:type="dxa"/>
          </w:tcPr>
          <w:p>
            <w:pPr/>
            <w:r>
              <w:t xml:space="preserve">Calculable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936" w:type="dxa"/>
          </w:tcPr>
          <w:p>
            <w:pPr/>
            <w:r>
              <w:t xml:space="preserve">Inversiones</w:t>
            </w:r>
          </w:p>
        </w:tc>
        <w:tc>
          <w:tcPr>
            <w:tcW w:w="936" w:type="dxa"/>
          </w:tcPr>
          <w:p>
            <w:pPr/>
            <w:r>
              <w:t xml:space="preserve">PMI y PMIE (147) y Formulación multianual por proyecto (150)</w:t>
            </w:r>
          </w:p>
        </w:tc>
        <w:tc>
          <w:tcPr>
            <w:tcW w:w="936" w:type="dxa"/>
          </w:tcPr>
          <w:p>
            <w:pPr/>
            <w:r>
              <w:t xml:space="preserve">147: fin 30/11/2026 (StandBy). 150: 01/04/2027 – 30/06/2027</w:t>
            </w:r>
          </w:p>
        </w:tc>
        <w:tc>
          <w:tcPr>
            <w:tcW w:w="936" w:type="dxa"/>
          </w:tcPr>
          <w:p>
            <w:pPr/>
            <w:r>
              <w:t xml:space="preserve">No determinable</w:t>
            </w:r>
          </w:p>
        </w:tc>
        <w:tc>
          <w:tcPr>
            <w:tcW w:w="909" w:type="dxa"/>
          </w:tcPr>
          <w:p>
            <w:pPr/>
            <w:r>
              <w:t xml:space="preserve">—</w:t>
            </w:r>
          </w:p>
        </w:tc>
        <w:tc>
          <w:tcPr>
            <w:tcW w:w="1076" w:type="dxa"/>
          </w:tcPr>
          <w:p>
            <w:pPr/>
            <w:r>
              <w:t xml:space="preserve">Falta saber si se reactiva la fila 147 y a qué ciclo de formulación corresponde la 150.</w:t>
            </w:r>
          </w:p>
        </w:tc>
        <w:tc>
          <w:tcPr>
            <w:tcW w:w="1039" w:type="dxa"/>
          </w:tcPr>
          <w:p>
            <w:pPr/>
            <w:r>
              <w:t xml:space="preserve">Condiciona las filas 149, 189 y 256 y la Formulación de Presupuesto.</w:t>
            </w:r>
          </w:p>
        </w:tc>
        <w:tc>
          <w:tcPr>
            <w:tcW w:w="936" w:type="dxa"/>
          </w:tcPr>
          <w:p>
            <w:pPr/>
            <w:r>
              <w:t xml:space="preserve">Alta</w:t>
            </w:r>
          </w:p>
        </w:tc>
        <w:tc>
          <w:tcPr>
            <w:tcW w:w="936" w:type="dxa"/>
          </w:tcPr>
          <w:p>
            <w:pPr/>
            <w:r>
              <w:t xml:space="preserve">Decisión necesaria de la Coordinación con el CAF de Inversiones</w:t>
            </w:r>
          </w:p>
        </w:tc>
      </w:tr>
    </w:tbl>
    <w:p>
      <w:pPr/>
      <w:r>
        <w:rPr>
          <w:b/>
        </w:rPr>
        <w:t xml:space="preserve">Efectos en cadena: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Los ajustes 1 y 2</w:t>
      </w:r>
      <w:r>
        <w:t xml:space="preserve"> cambian los extremos de dos macroprocesos. Programación termina el 30/06/2027. El módulo de Ejecución presupuestaria se extiende al 10/03/2028, lo que deja 14 días de margen con el fin de la Evaluación presupuestaria (24/03/2028).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Los ajustes 3, 4 y 5</w:t>
      </w:r>
      <w:r>
        <w:t xml:space="preserve"> comprimen trabajo en noviembre y diciembre de 2026 para el CAF de Presupuesto, que ya tiene 10 catálogos con avance parcial y 4 procesos de Programación en curso. Es la principal restricción de capacidad que se debe verificar.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El fin del proyecto (28/12/2029) no cambia</w:t>
      </w:r>
      <w:r>
        <w:t xml:space="preserve"> con ninguno de los ajustes propuestos.</w:t>
      </w:r>
    </w:p>
    <w:p>
      <w:pPr>
        <w:pStyle w:val="Heading2"/>
      </w:pPr>
      <w:r>
        <w:t xml:space="preserve">8. Gráficos ejecutivos</w:t>
      </w:r>
    </w:p>
    <w:p>
      <w:pPr/>
      <w:r>
        <w:rPr>
          <w:b/>
        </w:rPr>
        <w:t xml:space="preserve">Gráfico 1. Cronograma integrado por macroproceso y sistema</w:t>
      </w:r>
    </w:p>
    <w:p>
      <w:pPr/>
      <w:r>
        <w:drawing>
          <wp:inline distT="0" distB="0" distL="0" distR="0">
            <wp:extent cx="5486400" cy="3804557"/>
            <wp:docPr id="1" name="image1" descr="Gráfico 1 · Cronograma AFSP - Integrado.mpp · actividades operativas por sistema y macroproces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Gráfico 1 · Cronograma AFSP - Integrado.mpp · actividades operativas por sistema y macroproces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Gráfico 1 · Cronograma AFSP - Integrado.mpp · actividades operativas por sistema y macroproceso</w:t>
      </w:r>
    </w:p>
    <w:p>
      <w:pPr/>
      <w:r>
        <w:t xml:space="preserve">Los catálogos (2023–2027) preceden a todo. Programación, Gestión y Evaluación se superponen en 2027–2028 en cinco sistemas. La Gestión de Endeudamiento y de Abastecimiento continúa sola hasta 2029, sin Evaluación asociada.</w:t>
      </w:r>
    </w:p>
    <w:p>
      <w:pPr/>
      <w:r>
        <w:rPr>
          <w:b/>
        </w:rPr>
        <w:t xml:space="preserve">Gráfico 2. Dependencias entre macroprocesos</w:t>
      </w:r>
    </w:p>
    <w:p>
      <w:pPr/>
      <w:r>
        <w:drawing>
          <wp:inline distT="0" distB="0" distL="0" distR="0">
            <wp:extent cx="5486400" cy="3665764"/>
            <wp:docPr id="2" name="image2" descr="Gráfico 2 · dependencias propuestas del Cuadro 3 · críticas y alt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Gráfico 2 · dependencias propuestas del Cuadro 3 · críticas y alta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Gráfico 2 · dependencias propuestas del Cuadro 3 · críticas y altas</w:t>
      </w:r>
    </w:p>
    <w:p>
      <w:pPr/>
      <w:r>
        <w:t xml:space="preserve">Las flechas en rojo (1 y 2) marcan el ciclo del gasto, donde el proceso receptor se diseña antes que su insumo. Las ámbar (3 a 5) se resuelven adelantando insumos o con entregas parciales.</w:t>
      </w:r>
    </w:p>
    <w:p>
      <w:pPr>
        <w:pStyle w:val="Heading2"/>
      </w:pPr>
      <w:r>
        <w:t xml:space="preserve">9. Conclusiones y decisiones requeridas</w:t>
      </w:r>
    </w:p>
    <w:p>
      <w:pPr/>
      <w:r>
        <w:rPr>
          <w:b/>
        </w:rPr>
        <w:t xml:space="preserve">La integración es alcanzable sin mover el fin del proyecto (28/12/2029), pero el cronograma actual no la garantiza.</w:t>
      </w:r>
      <w:r>
        <w:t xml:space="preserve"> Para eso hacen falta tres condiciones: corregir las dos alertas críticas, convertir el archivo en un cronograma con lógica de red y que la Coordinación tome cuatro decisiones de alcance.</w:t>
      </w:r>
    </w:p>
    <w:p>
      <w:pPr/>
      <w:r>
        <w:rPr>
          <w:b/>
        </w:rPr>
        <w:t xml:space="preserve">Conclusiones: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Clasificadores y Catálogos no es el cuello de botella.</w:t>
      </w:r>
      <w:r>
        <w:t xml:space="preserve"> Está al 92 %, y lo pendiente se concentra en Presupuesto para el ciclo de Formulación 2027.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El ciclo presupuestario 2027 es el punto más frágil.</w:t>
      </w:r>
      <w:r>
        <w:t xml:space="preserve"> Cinco insumos de cuatro sistemas llegan después del fin de la Formulación (D7 a D10, D17 y D18).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El diseño del ciclo del gasto no es secuencial entre sistemas.</w:t>
      </w:r>
      <w:r>
        <w:t xml:space="preserve"> El compromiso, el devengado y el pago se diseñan antes que sus documentos fuente: la OC/OS y la Conformidad de Abastecimiento, y la cuota de pago de Tesorería.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Evaluación está incompleta y adelantada.</w:t>
      </w:r>
      <w:r>
        <w:t xml:space="preserve"> Cubre tres de los siete sistemas, y en Contabilidad se diseña antes que la Gestión que evalúa.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El cronograma no sirve todavía como instrumento de control.</w:t>
      </w:r>
      <w:r>
        <w:t xml:space="preserve"> No tiene vínculos, línea base, fecha de estado ni fechas de construcción (C3).</w:t>
      </w:r>
    </w:p>
    <w:p>
      <w:pPr/>
      <w:r>
        <w:rPr>
          <w:b/>
        </w:rPr>
        <w:t xml:space="preserve">Decisiones requeridas de la Coordinación y la UCP:</w:t>
      </w:r>
    </w:p>
    <w:p>
      <w:pPr>
        <w:pStyle w:val="ListParagraph"/>
        <w:numPr>
          <w:ilvl w:val="0"/>
          <w:numId w:val="12"/>
        </w:numPr>
      </w:pPr>
      <w:r>
        <w:t xml:space="preserve">☐ Aprobar la reprogramación de la cuota de pago de Tesorería (Cuadro 5, ajuste 1) o una versión mínima anterior al 20/04/2027.</w:t>
      </w:r>
    </w:p>
    <w:p>
      <w:pPr>
        <w:pStyle w:val="ListParagraph"/>
        <w:numPr>
          <w:ilvl w:val="0"/>
          <w:numId w:val="12"/>
        </w:numPr>
      </w:pPr>
      <w:r>
        <w:t xml:space="preserve">☐ Decidir cómo se diseña la ejecución de bienes, servicios y obras respecto de la OC/OS y la Conformidad (ajuste 2).</w:t>
      </w:r>
    </w:p>
    <w:p>
      <w:pPr>
        <w:pStyle w:val="ListParagraph"/>
        <w:numPr>
          <w:ilvl w:val="0"/>
          <w:numId w:val="12"/>
        </w:numPr>
      </w:pPr>
      <w:r>
        <w:t xml:space="preserve">☐ Confirmar la fuente de datos de los cierres y estados contables de 2026–2027: SIAF-SP o nuevo módulo (ajuste 6).</w:t>
      </w:r>
    </w:p>
    <w:p>
      <w:pPr>
        <w:pStyle w:val="ListParagraph"/>
        <w:numPr>
          <w:ilvl w:val="0"/>
          <w:numId w:val="12"/>
        </w:numPr>
      </w:pPr>
      <w:r>
        <w:t xml:space="preserve">☐ Definir si la PMI de Inversiones sale de StandBy y a qué ciclo corresponde la fila 150 (ajuste 12).</w:t>
      </w:r>
    </w:p>
    <w:p>
      <w:pPr>
        <w:pStyle w:val="ListParagraph"/>
        <w:numPr>
          <w:ilvl w:val="0"/>
          <w:numId w:val="12"/>
        </w:numPr>
      </w:pPr>
      <w:r>
        <w:t xml:space="preserve">☐ Decidir si se incorporan al PMO las 33 actividades marcadas como "No figura en PMO".</w:t>
      </w:r>
    </w:p>
    <w:p>
      <w:pPr>
        <w:pStyle w:val="ListParagraph"/>
        <w:numPr>
          <w:ilvl w:val="0"/>
          <w:numId w:val="12"/>
        </w:numPr>
      </w:pPr>
      <w:r>
        <w:t xml:space="preserve">☐ Confirmar si Abastecimiento, GFRH, Tesorería y Endeudamiento deben tener procesos de Evaluación.</w:t>
      </w:r>
    </w:p>
    <w:p>
      <w:pPr>
        <w:pStyle w:val="ListParagraph"/>
        <w:numPr>
          <w:ilvl w:val="0"/>
          <w:numId w:val="12"/>
        </w:numPr>
      </w:pPr>
      <w:r>
        <w:t xml:space="preserve">☐ Definir un único sistema titular para los convenios, desembolsos y acreedores que comparten Inversiones, Endeudamiento y Tesorería.</w:t>
      </w:r>
    </w:p>
    <w:p>
      <w:pPr/>
      <w:r>
        <w:rPr>
          <w:b/>
        </w:rPr>
        <w:t xml:space="preserve">Acciones técnicas sobre el archivo .mpp (responsable: PMO):</w:t>
      </w:r>
    </w:p>
    <w:p>
      <w:pPr>
        <w:pStyle w:val="ListParagraph"/>
        <w:numPr>
          <w:ilvl w:val="0"/>
          <w:numId w:val="13"/>
        </w:numPr>
      </w:pPr>
      <w:r>
        <w:t xml:space="preserve">☐ Depurar los duplicados, la "&lt;Tarea nueva&gt;", el marcador C3 y las inconsistencias de Estado UCP (alerta 14).</w:t>
      </w:r>
    </w:p>
    <w:p>
      <w:pPr>
        <w:pStyle w:val="ListParagraph"/>
        <w:numPr>
          <w:ilvl w:val="0"/>
          <w:numId w:val="13"/>
        </w:numPr>
      </w:pPr>
      <w:r>
        <w:t xml:space="preserve">☐ Registrar como vínculos las 22 dependencias del Cuadro 3, con desfase cuando se acepte un solapamiento.</w:t>
      </w:r>
    </w:p>
    <w:p>
      <w:pPr>
        <w:pStyle w:val="ListParagraph"/>
        <w:numPr>
          <w:ilvl w:val="0"/>
          <w:numId w:val="13"/>
        </w:numPr>
      </w:pPr>
      <w:r>
        <w:t xml:space="preserve">☐ Pasar las tareas a programación automática, definir una fecha de estado mensual y guardar la línea base.</w:t>
      </w:r>
    </w:p>
    <w:p>
      <w:pPr>
        <w:pStyle w:val="ListParagraph"/>
        <w:numPr>
          <w:ilvl w:val="0"/>
          <w:numId w:val="13"/>
        </w:numPr>
      </w:pPr>
      <w:r>
        <w:t xml:space="preserve">☐ Programar la construcción (C3) y la puesta en producción por sistema, para medir la disponibilidad real de cada entregable.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Resumen Ejecutivo de Integración Funcional y Temporal – Cronograma AFSP</dc:title>
  <dc:description>Claude Docs node/d0f8639a-bd8d@15 docx-w7</dc:description>
  <cp:revision>15</cp:revision>
</cp:coreProperties>
</file>