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anchor distT="0" distB="0" distL="0" distR="0" simplePos="0" allowOverlap="1" behindDoc="1" locked="0" layoutInCell="1" relativeHeight="1069657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t="0" r="0" b="0" l="0"/>
            <wp:wrapNone/>
            <wp:docPr id="1" name="fondo" descr="Fondo de portada con curvas institucionales" title="Fon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val="right" w:pos="9866"/>
        </w:tabs>
      </w:pPr>
      <w:r>
        <w:drawing>
          <wp:inline distT="0" distB="0" distL="0" distR="0">
            <wp:extent cx="2333625" cy="457200"/>
            <wp:effectExtent t="0" r="0" b="0" l="0"/>
            <wp:docPr id="1" name="mef" descr="Logotipo del Ministerio de Economía y Finanzas" title="M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	</w:t>
      </w:r>
      <w:r>
        <w:drawing>
          <wp:inline distT="0" distB="0" distL="0" distR="0">
            <wp:extent cx="1524000" cy="485775"/>
            <wp:effectExtent t="0" r="0" b="0" l="0"/>
            <wp:docPr id="1" name="siaf" descr="Logotipo SIAF-RP" title="SIAF-R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600"/>
      </w:pPr>
      <w:r>
        <w:rPr>
          <w:rFonts w:ascii="Montserrat" w:cs="Montserrat" w:eastAsia="Montserrat" w:hAnsi="Montserrat"/>
          <w:b/>
          <w:bCs/>
          <w:color w:val="E6375D"/>
          <w:spacing w:val="40"/>
          <w:sz w:val="22"/>
          <w:szCs w:val="22"/>
        </w:rPr>
        <w:t xml:space="preserve">RESUMEN EJECUTIVO DE LA SOLUCIÓN</w:t>
      </w:r>
    </w:p>
    <w:p>
      <w:pPr>
        <w:spacing w:after="120" w:before="160"/>
      </w:pPr>
      <w:r>
        <w:rPr>
          <w:rFonts w:ascii="Montserrat SemiBold" w:cs="Montserrat SemiBold" w:eastAsia="Montserrat SemiBold" w:hAnsi="Montserrat SemiBold"/>
          <w:b/>
          <w:bCs/>
          <w:color w:val="004899"/>
          <w:sz w:val="52"/>
          <w:szCs w:val="52"/>
        </w:rPr>
        <w:t xml:space="preserve">Propuesta de solución y reprogramación del Cronograma Integrado AFSP</w:t>
      </w:r>
    </w:p>
    <w:p>
      <w:pPr>
        <w:pBdr>
          <w:bottom w:val="single" w:color="D0D5DD" w:sz="6" w:space="10"/>
        </w:pBdr>
        <w:spacing w:after="360" w:before="120"/>
      </w:pPr>
      <w:r>
        <w:rPr>
          <w:rFonts w:ascii="Montserrat" w:cs="Montserrat" w:eastAsia="Montserrat" w:hAnsi="Montserrat"/>
          <w:b/>
          <w:bCs/>
          <w:color w:val="E6375D"/>
          <w:sz w:val="26"/>
          <w:szCs w:val="26"/>
        </w:rPr>
        <w:t xml:space="preserve">Escenario recomendado, ajustes de fechas, hitos de integración y decisiones</w:t>
      </w:r>
    </w:p>
    <w:p>
      <w:pPr>
        <w:spacing w:after="80"/>
      </w:pPr>
      <w:r>
        <w:rPr>
          <w:rFonts w:ascii="Montserrat" w:cs="Montserrat" w:eastAsia="Montserrat" w:hAnsi="Montserrat"/>
          <w:b/>
          <w:bCs/>
          <w:color w:val="004899"/>
          <w:sz w:val="20"/>
          <w:szCs w:val="20"/>
        </w:rPr>
        <w:t xml:space="preserve">Dirigido a: </w:t>
      </w:r>
      <w:r>
        <w:rPr>
          <w:rFonts w:ascii="Montserrat" w:cs="Montserrat" w:eastAsia="Montserrat" w:hAnsi="Montserrat"/>
          <w:color w:val="4B4B4D"/>
          <w:sz w:val="20"/>
          <w:szCs w:val="20"/>
        </w:rPr>
        <w:t xml:space="preserve">Coordinación del Proyecto y Unidad de Coordinación del Proyecto (UCP)</w:t>
      </w:r>
    </w:p>
    <w:p>
      <w:pPr>
        <w:spacing w:after="80"/>
      </w:pPr>
      <w:r>
        <w:rPr>
          <w:rFonts w:ascii="Montserrat" w:cs="Montserrat" w:eastAsia="Montserrat" w:hAnsi="Montserrat"/>
          <w:b/>
          <w:bCs/>
          <w:color w:val="004899"/>
          <w:sz w:val="20"/>
          <w:szCs w:val="20"/>
        </w:rPr>
        <w:t xml:space="preserve">Fuente: </w:t>
      </w:r>
      <w:r>
        <w:rPr>
          <w:rFonts w:ascii="Montserrat" w:cs="Montserrat" w:eastAsia="Montserrat" w:hAnsi="Montserrat"/>
          <w:color w:val="4B4B4D"/>
          <w:sz w:val="20"/>
          <w:szCs w:val="20"/>
        </w:rPr>
        <w:t xml:space="preserve">Cronograma AFSP – Integrado.mpp (21/10/2026) y Resumen Ejecutivo de Integración</w:t>
      </w:r>
    </w:p>
    <w:p>
      <w:pPr>
        <w:spacing w:after="80"/>
      </w:pPr>
      <w:r>
        <w:rPr>
          <w:rFonts w:ascii="Montserrat" w:cs="Montserrat" w:eastAsia="Montserrat" w:hAnsi="Montserrat"/>
          <w:b/>
          <w:bCs/>
          <w:color w:val="004899"/>
          <w:sz w:val="20"/>
          <w:szCs w:val="20"/>
        </w:rPr>
        <w:t xml:space="preserve">Fecha: </w:t>
      </w:r>
      <w:r>
        <w:rPr>
          <w:rFonts w:ascii="Montserrat" w:cs="Montserrat" w:eastAsia="Montserrat" w:hAnsi="Montserrat"/>
          <w:color w:val="4B4B4D"/>
          <w:sz w:val="20"/>
          <w:szCs w:val="20"/>
        </w:rPr>
        <w:t xml:space="preserve">22 de octubre de 2026</w:t>
      </w:r>
    </w:p>
    <w:p>
      <w:pPr>
        <w:sectPr>
          <w:pgSz w:w="11906" w:h="16838" w:orient="portrait"/>
          <w:pgMar w:top="900" w:right="1020" w:bottom="900" w:left="1020" w:header="708" w:footer="708" w:gutter="0"/>
          <w:pgNumType/>
          <w:docGrid w:linePitch="360"/>
        </w:sectPr>
      </w:pPr>
    </w:p>
    <w:p>
      <w:pPr>
        <w:pStyle w:val="Heading1"/>
        <w:keepNext/>
        <w:spacing w:after="200" w:before="120"/>
      </w:pPr>
      <w:r>
        <w:rPr>
          <w:rFonts w:ascii="Montserrat SemiBold" w:cs="Montserrat SemiBold" w:eastAsia="Montserrat SemiBold" w:hAnsi="Montserrat SemiBold"/>
          <w:b/>
          <w:bCs/>
          <w:color w:val="E6375D"/>
          <w:sz w:val="34"/>
          <w:szCs w:val="34"/>
        </w:rPr>
        <w:t xml:space="preserve">1  </w:t>
      </w:r>
      <w:r>
        <w:rPr>
          <w:rFonts w:ascii="Montserrat SemiBold" w:cs="Montserrat SemiBold" w:eastAsia="Montserrat SemiBold" w:hAnsi="Montserrat SemiBold"/>
          <w:b/>
          <w:bCs/>
          <w:color w:val="004899"/>
          <w:sz w:val="34"/>
          <w:szCs w:val="34"/>
        </w:rPr>
        <w:t xml:space="preserve">Situación actual</w:t>
      </w:r>
    </w:p>
    <w:p>
      <w:pPr>
        <w:spacing w:after="140" w:line="288"/>
      </w:pPr>
      <w:r>
        <w:rPr>
          <w:rFonts w:ascii="Montserrat" w:cs="Montserrat" w:eastAsia="Montserrat" w:hAnsi="Montserrat"/>
          <w:b/>
          <w:bCs/>
          <w:color w:val="004899"/>
          <w:sz w:val="20"/>
          <w:szCs w:val="20"/>
        </w:rPr>
        <w:t xml:space="preserve">El diagnóstico se confirma en lo esencial, pero se corrige en nueve puntos antes de proponer la solución.</w:t>
      </w:r>
      <w:r>
        <w:rPr>
          <w:rFonts w:ascii="Montserrat" w:cs="Montserrat" w:eastAsia="Montserrat" w:hAnsi="Montserrat"/>
          <w:color w:val="4B4B4D"/>
          <w:sz w:val="20"/>
          <w:szCs w:val="20"/>
        </w:rPr>
        <w:t xml:space="preserve"> El cronograma integrado (374 filas, corte 21/10/2026) no tiene vínculos, línea base ni fechas de construcción. Sus fechas son de diseño funcional (MFD): el fin de un MFD no es la disponibilidad del sistema construido.</w:t>
      </w:r>
    </w:p>
    <w:p>
      <w:pPr>
        <w:spacing w:after="140" w:line="288"/>
      </w:pPr>
      <w:r>
        <w:rPr>
          <w:rFonts w:ascii="Montserrat" w:cs="Montserrat" w:eastAsia="Montserrat" w:hAnsi="Montserrat"/>
          <w:color w:val="4B4B4D"/>
          <w:sz w:val="20"/>
          <w:szCs w:val="20"/>
        </w:rPr>
        <w:t xml:space="preserve">Se revisaron críticamente las 22 dependencias, las 19 alertas y los 12 ajustes del diagnóstico. El resultado: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ontserrat" w:cs="Montserrat" w:eastAsia="Montserrat" w:hAnsi="Montserrat"/>
          <w:b/>
          <w:bCs/>
          <w:color w:val="004899"/>
          <w:sz w:val="20"/>
          <w:szCs w:val="20"/>
        </w:rPr>
        <w:t xml:space="preserve">Dependencias:</w:t>
      </w:r>
      <w:r>
        <w:rPr>
          <w:rFonts w:ascii="Montserrat" w:cs="Montserrat" w:eastAsia="Montserrat" w:hAnsi="Montserrat"/>
          <w:color w:val="4B4B4D"/>
          <w:sz w:val="20"/>
          <w:szCs w:val="20"/>
        </w:rPr>
        <w:t xml:space="preserve"> 13 se mantienen, 9 se corrigen y aparecen 2 nuevas que el diagnóstico no vio: la certificación de crédito que necesitan las Actuaciones preparatorias (D23) y el modelo de devengado que necesita Pagos (D24).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ontserrat" w:cs="Montserrat" w:eastAsia="Montserrat" w:hAnsi="Montserrat"/>
          <w:b/>
          <w:bCs/>
          <w:color w:val="004899"/>
          <w:sz w:val="20"/>
          <w:szCs w:val="20"/>
        </w:rPr>
        <w:t xml:space="preserve">Ajustes:</w:t>
      </w:r>
      <w:r>
        <w:rPr>
          <w:rFonts w:ascii="Montserrat" w:cs="Montserrat" w:eastAsia="Montserrat" w:hAnsi="Montserrat"/>
          <w:color w:val="4B4B4D"/>
          <w:sz w:val="20"/>
          <w:szCs w:val="20"/>
        </w:rPr>
        <w:t xml:space="preserve"> 3 se mantienen, 6 se modifican y 3 se retiran porque comprimían duraciones sin datos de capacidad.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ontserrat" w:cs="Montserrat" w:eastAsia="Montserrat" w:hAnsi="Montserrat"/>
          <w:b/>
          <w:bCs/>
          <w:color w:val="004899"/>
          <w:sz w:val="20"/>
          <w:szCs w:val="20"/>
        </w:rPr>
        <w:t xml:space="preserve">Problemas reales de secuencia:</w:t>
      </w:r>
      <w:r>
        <w:rPr>
          <w:rFonts w:ascii="Montserrat" w:cs="Montserrat" w:eastAsia="Montserrat" w:hAnsi="Montserrat"/>
          <w:color w:val="4B4B4D"/>
          <w:sz w:val="20"/>
          <w:szCs w:val="20"/>
        </w:rPr>
        <w:t xml:space="preserve"> 10 de 24 dependencias. Las demás son solapamientos de diseño que se resuelven con entregas parciales o vínculos con desfase.</w:t>
      </w:r>
    </w:p>
    <w:p>
      <w:pPr>
        <w:keepNext/>
        <w:spacing w:after="100" w:before="200"/>
      </w:pPr>
      <w:r>
        <w:rPr>
          <w:rFonts w:ascii="Montserrat" w:cs="Montserrat" w:eastAsia="Montserrat" w:hAnsi="Montserrat"/>
          <w:b/>
          <w:bCs/>
          <w:color w:val="E6375D"/>
          <w:sz w:val="19"/>
          <w:szCs w:val="19"/>
        </w:rPr>
        <w:t xml:space="preserve">Cuadro 1. Principales correcciones al diagnóstico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4266"/>
        <w:gridCol w:w="3600"/>
      </w:tblGrid>
      <w:tr>
        <w:trPr>
          <w:tblHeader/>
        </w:trPr>
        <w:tc>
          <w:tcPr>
            <w:tcW w:type="dxa" w:w="2000"/>
            <w:tcBorders>
              <w:top w:val="single" w:color="004899" w:sz="4"/>
              <w:left w:val="single" w:color="004899" w:sz="4"/>
              <w:bottom w:val="single" w:color="004899" w:sz="4"/>
              <w:right w:val="single" w:color="004899" w:sz="4"/>
            </w:tcBorders>
            <w:shd w:fill="00489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Tema</w:t>
            </w:r>
          </w:p>
        </w:tc>
        <w:tc>
          <w:tcPr>
            <w:tcW w:type="dxa" w:w="4266"/>
            <w:tcBorders>
              <w:top w:val="single" w:color="004899" w:sz="4"/>
              <w:left w:val="single" w:color="004899" w:sz="4"/>
              <w:bottom w:val="single" w:color="004899" w:sz="4"/>
              <w:right w:val="single" w:color="004899" w:sz="4"/>
            </w:tcBorders>
            <w:shd w:fill="00489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Qué se corrige</w:t>
            </w:r>
          </w:p>
        </w:tc>
        <w:tc>
          <w:tcPr>
            <w:tcW w:type="dxa" w:w="3600"/>
            <w:tcBorders>
              <w:top w:val="single" w:color="004899" w:sz="4"/>
              <w:left w:val="single" w:color="004899" w:sz="4"/>
              <w:bottom w:val="single" w:color="004899" w:sz="4"/>
              <w:right w:val="single" w:color="004899" w:sz="4"/>
            </w:tcBorders>
            <w:shd w:fill="00489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«Ciclo presupuestario 2027»</w:t>
            </w:r>
          </w:p>
        </w:tc>
        <w:tc>
          <w:tcPr>
            <w:tcW w:type="dxa" w:w="42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Las fechas de Formulación (14/10/2026–19/01/2027) son del diseño del MFD del módulo, no del ciclo fiscal. El riesgo es de retrabajo del MFD, no de operación del presupuesto 2027.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Se reformula como «cierre del diseño de Formulación».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Brecha de la cuota de pago (D1)</w:t>
            </w:r>
          </w:p>
        </w:tc>
        <w:tc>
          <w:tcPr>
            <w:tcW w:type="dxa" w:w="42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La Acreditación del responsable (232, desde 20/04/2027) no usa la cuota. El primer proceso que la necesita es Pagos entre CUT (236), desde el 16/06/2027.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La brecha pasa de 407 a 350 días.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Contabilidad antes que la ejecución (D4 y D5)</w:t>
            </w:r>
          </w:p>
        </w:tc>
        <w:tc>
          <w:tcPr>
            <w:tcW w:type="dxa" w:w="42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Hay evidencia de un diseño de transición con el SIAF-SP: la integración SIAF-RP–SIAF-SP (344) y el cierre contable (361) están terminados.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Se rebaja de alerta alta a «pendiente de decisión» (DEC-3).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Ajustes 3, 4 y 5 (adelantar metas, clasificadores y catálogos)</w:t>
            </w:r>
          </w:p>
        </w:tc>
        <w:tc>
          <w:tcPr>
            <w:tcW w:type="dxa" w:w="42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Comprimían duraciones sin datos de capacidad: el .mpp no tiene recursos.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Se retiran. Se reemplazan por entregas parciales (M3, M4) y por aplicar los clasificadores temáticos al ciclo 2028.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Ajuste 1 (adelantar 162 y 163 en 422 días)</w:t>
            </w:r>
          </w:p>
        </w:tc>
        <w:tc>
          <w:tcPr>
            <w:tcW w:type="dxa" w:w="42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Se solapaba con los Flujos de caja proyectados (161) y cargaba al CAF de Tesorería en el primer trimestre de 2027.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Se reemplaza por una cuota de pago v1 (N1) en mayo de 2027; la versión completa se mantiene en 2028.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Ajuste 2 (mover la ejecución de bienes y servicios hasta 223 días)</w:t>
            </w:r>
          </w:p>
        </w:tc>
        <w:tc>
          <w:tcPr>
            <w:tcW w:type="dxa" w:w="42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No consideraba la certificación de crédito, que las Actuaciones preparatorias necesitan antes, ni el modelo de devengado que necesita Pagos.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Se reemplaza por una división en certificación, compromiso y devengado, con entregas parciales. Aparecen dos vínculos nuevos (D23 y D24).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Ajuste 11 (adelantar los catálogos de consolidación 13 días)</w:t>
            </w:r>
          </w:p>
        </w:tc>
        <w:tc>
          <w:tcPr>
            <w:tcW w:type="dxa" w:w="42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Un solapamiento de 6 días es viable con un vínculo con desfase.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Se retira; se registra un vínculo FC con −5 días.</w:t>
            </w:r>
          </w:p>
        </w:tc>
      </w:tr>
    </w:tbl>
    <w:p>
      <w:pPr>
        <w:spacing w:after="120"/>
      </w:pPr>
    </w:p>
    <w:p>
      <w:pPr>
        <w:pageBreakBefore/>
      </w:pPr>
    </w:p>
    <w:p>
      <w:pPr>
        <w:pStyle w:val="Heading1"/>
        <w:keepNext/>
        <w:spacing w:after="200" w:before="120"/>
      </w:pPr>
      <w:r>
        <w:rPr>
          <w:rFonts w:ascii="Montserrat SemiBold" w:cs="Montserrat SemiBold" w:eastAsia="Montserrat SemiBold" w:hAnsi="Montserrat SemiBold"/>
          <w:b/>
          <w:bCs/>
          <w:color w:val="E6375D"/>
          <w:sz w:val="34"/>
          <w:szCs w:val="34"/>
        </w:rPr>
        <w:t xml:space="preserve">2  </w:t>
      </w:r>
      <w:r>
        <w:rPr>
          <w:rFonts w:ascii="Montserrat SemiBold" w:cs="Montserrat SemiBold" w:eastAsia="Montserrat SemiBold" w:hAnsi="Montserrat SemiBold"/>
          <w:b/>
          <w:bCs/>
          <w:color w:val="004899"/>
          <w:sz w:val="34"/>
          <w:szCs w:val="34"/>
        </w:rPr>
        <w:t xml:space="preserve">Solución integral recomendada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899" w:color="auto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/>
            </w:pPr>
            <w:r>
              <w:rPr>
                <w:rFonts w:ascii="Montserrat" w:cs="Montserrat" w:eastAsia="Montserrat" w:hAnsi="Montserrat"/>
                <w:b/>
                <w:bCs/>
                <w:color w:val="94D4ED"/>
                <w:sz w:val="16"/>
                <w:szCs w:val="16"/>
              </w:rPr>
              <w:t xml:space="preserve">RECOMENDACIÓN</w:t>
            </w:r>
          </w:p>
          <w:p>
            <w:pPr>
              <w:spacing w:line="300"/>
            </w:pPr>
            <w:r>
              <w:rPr>
                <w:rFonts w:ascii="Montserrat" w:cs="Montserrat" w:eastAsia="Montserrat" w:hAnsi="Montserrat"/>
                <w:color w:val="FFFFFF"/>
                <w:sz w:val="22"/>
                <w:szCs w:val="22"/>
              </w:rPr>
              <w:t xml:space="preserve">Se recomienda el </w:t>
            </w: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Escenario 2 – Integración optimizada</w:t>
            </w:r>
            <w:r>
              <w:rPr>
                <w:rFonts w:ascii="Montserrat" w:cs="Montserrat" w:eastAsia="Montserrat" w:hAnsi="Montserrat"/>
                <w:color w:val="FFFFFF"/>
                <w:sz w:val="22"/>
                <w:szCs w:val="22"/>
              </w:rPr>
              <w:t xml:space="preserve">: articula los siete sistemas mediante 87 vínculos, 9 tareas nuevas y 8 entregas parciales, sin mover el fin del proyecto (28/12/2029). Las 2 alertas críticas quedan resueltas en la propuesta, condicionadas a validar la capacidad de los CAF de Tesorería y Presupuesto.</w:t>
            </w:r>
          </w:p>
        </w:tc>
      </w:tr>
    </w:tbl>
    <w:p>
      <w:pPr>
        <w:spacing w:after="16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46"/>
        <w:gridCol w:w="160"/>
        <w:gridCol w:w="2346"/>
        <w:gridCol w:w="160"/>
        <w:gridCol w:w="2346"/>
        <w:gridCol w:w="160"/>
        <w:gridCol w:w="2346"/>
      </w:tblGrid>
      <w:tr>
        <w:tc>
          <w:tcPr>
            <w:tcW w:type="dxa" w:w="2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899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ontserrat SemiBold" w:cs="Montserrat SemiBold" w:eastAsia="Montserrat SemiBold" w:hAnsi="Montserrat SemiBold"/>
                <w:b/>
                <w:bCs/>
                <w:color w:val="FFFFFF"/>
                <w:sz w:val="40"/>
                <w:szCs w:val="40"/>
              </w:rPr>
              <w:t xml:space="preserve">87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vínculos de precedencia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3F8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ontserrat SemiBold" w:cs="Montserrat SemiBold" w:eastAsia="Montserrat SemiBold" w:hAnsi="Montserrat SemiBold"/>
                <w:b/>
                <w:bCs/>
                <w:color w:val="FFFFFF"/>
                <w:sz w:val="40"/>
                <w:szCs w:val="40"/>
              </w:rPr>
              <w:t xml:space="preserve">9 + 8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tareas nuevas y entregas parciales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B4AA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ontserrat SemiBold" w:cs="Montserrat SemiBold" w:eastAsia="Montserrat SemiBold" w:hAnsi="Montserrat SemiBold"/>
                <w:b/>
                <w:bCs/>
                <w:color w:val="FFFFFF"/>
                <w:sz w:val="40"/>
                <w:szCs w:val="40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hitos de integración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75D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ontserrat SemiBold" w:cs="Montserrat SemiBold" w:eastAsia="Montserrat SemiBold" w:hAnsi="Montserrat SemiBold"/>
                <w:b/>
                <w:bCs/>
                <w:color w:val="FFFFFF"/>
                <w:sz w:val="30"/>
                <w:szCs w:val="30"/>
              </w:rPr>
              <w:t xml:space="preserve">28/12/2029</w:t>
            </w:r>
          </w:p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fin del proyecto, sin cambio</w:t>
            </w:r>
          </w:p>
        </w:tc>
      </w:tr>
    </w:tbl>
    <w:p>
      <w:pPr>
        <w:spacing w:after="160"/>
      </w:pPr>
    </w:p>
    <w:p>
      <w:pPr>
        <w:spacing w:after="140" w:line="288"/>
      </w:pPr>
      <w:r>
        <w:rPr>
          <w:rFonts w:ascii="Montserrat" w:cs="Montserrat" w:eastAsia="Montserrat" w:hAnsi="Montserrat"/>
          <w:color w:val="4B4B4D"/>
          <w:sz w:val="20"/>
          <w:szCs w:val="20"/>
        </w:rPr>
        <w:t xml:space="preserve">La solución sigue una regla: </w:t>
      </w:r>
      <w:r>
        <w:rPr>
          <w:rFonts w:ascii="Montserrat" w:cs="Montserrat" w:eastAsia="Montserrat" w:hAnsi="Montserrat"/>
          <w:b/>
          <w:bCs/>
          <w:color w:val="004899"/>
          <w:sz w:val="20"/>
          <w:szCs w:val="20"/>
        </w:rPr>
        <w:t xml:space="preserve">adelantar o dividir el insumo antes que retrasar al receptor</w:t>
      </w:r>
      <w:r>
        <w:rPr>
          <w:rFonts w:ascii="Montserrat" w:cs="Montserrat" w:eastAsia="Montserrat" w:hAnsi="Montserrat"/>
          <w:color w:val="4B4B4D"/>
          <w:sz w:val="20"/>
          <w:szCs w:val="20"/>
        </w:rPr>
        <w:t xml:space="preserve">, y nunca comprimir una duración sin capacidad comprobada. Cuando el receptor solo necesita la estructura del dato, se crea un hito de entrega parcial en lugar de mover el proceso completo.</w:t>
      </w:r>
    </w:p>
    <w:p>
      <w:pPr>
        <w:keepNext/>
        <w:spacing w:after="100" w:before="200"/>
      </w:pPr>
      <w:r>
        <w:rPr>
          <w:rFonts w:ascii="Montserrat" w:cs="Montserrat" w:eastAsia="Montserrat" w:hAnsi="Montserrat"/>
          <w:b/>
          <w:bCs/>
          <w:color w:val="E6375D"/>
          <w:sz w:val="19"/>
          <w:szCs w:val="19"/>
        </w:rPr>
        <w:t xml:space="preserve">Cuadro 2. Solución por caso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2900"/>
        <w:gridCol w:w="3400"/>
        <w:gridCol w:w="2066"/>
      </w:tblGrid>
      <w:tr>
        <w:trPr>
          <w:tblHeader/>
        </w:trPr>
        <w:tc>
          <w:tcPr>
            <w:tcW w:type="dxa" w:w="1500"/>
            <w:tcBorders>
              <w:top w:val="single" w:color="004899" w:sz="4"/>
              <w:left w:val="single" w:color="004899" w:sz="4"/>
              <w:bottom w:val="single" w:color="004899" w:sz="4"/>
              <w:right w:val="single" w:color="004899" w:sz="4"/>
            </w:tcBorders>
            <w:shd w:fill="00489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Caso</w:t>
            </w:r>
          </w:p>
        </w:tc>
        <w:tc>
          <w:tcPr>
            <w:tcW w:type="dxa" w:w="2900"/>
            <w:tcBorders>
              <w:top w:val="single" w:color="004899" w:sz="4"/>
              <w:left w:val="single" w:color="004899" w:sz="4"/>
              <w:bottom w:val="single" w:color="004899" w:sz="4"/>
              <w:right w:val="single" w:color="004899" w:sz="4"/>
            </w:tcBorders>
            <w:shd w:fill="00489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Problema confirmado</w:t>
            </w:r>
          </w:p>
        </w:tc>
        <w:tc>
          <w:tcPr>
            <w:tcW w:type="dxa" w:w="3400"/>
            <w:tcBorders>
              <w:top w:val="single" w:color="004899" w:sz="4"/>
              <w:left w:val="single" w:color="004899" w:sz="4"/>
              <w:bottom w:val="single" w:color="004899" w:sz="4"/>
              <w:right w:val="single" w:color="004899" w:sz="4"/>
            </w:tcBorders>
            <w:shd w:fill="00489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Solución recomendada</w:t>
            </w:r>
          </w:p>
        </w:tc>
        <w:tc>
          <w:tcPr>
            <w:tcW w:type="dxa" w:w="2066"/>
            <w:tcBorders>
              <w:top w:val="single" w:color="004899" w:sz="4"/>
              <w:left w:val="single" w:color="004899" w:sz="4"/>
              <w:bottom w:val="single" w:color="004899" w:sz="4"/>
              <w:right w:val="single" w:color="004899" w:sz="4"/>
            </w:tcBorders>
            <w:shd w:fill="00489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Efecto en fechas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1 · Tesorería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Los pagos de 2027 (236, 234) se diseñan antes que la cuota de pago (163, may 2028): 350 días.</w:t>
            </w:r>
          </w:p>
        </w:tc>
        <w:tc>
          <w:tcPr>
            <w:tcW w:type="dxa" w:w="3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B · Cuota de pago v1 mínima (N1) con los flujos proyectados (161); 163 pasa a ser la v2 completa.</w:t>
            </w:r>
          </w:p>
        </w:tc>
        <w:tc>
          <w:tcPr>
            <w:tcW w:type="dxa" w:w="20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N1: 03/05/2027 – 02/06/2027. Sin retrasos.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2 · Abastecimiento – Presupuesto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Compromiso y devengado se diseñan antes que la orden (196) y la Conformidad (197); falta la certificación.</w:t>
            </w:r>
          </w:p>
        </w:tc>
        <w:tc>
          <w:tcPr>
            <w:tcW w:type="dxa" w:w="3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B · Dividir la ejecución en certificación y modelo de datos (N2), compromiso (181) y devengado (N3), con entregas parciales M1 y M2.</w:t>
            </w:r>
          </w:p>
        </w:tc>
        <w:tc>
          <w:tcPr>
            <w:tcW w:type="dxa" w:w="20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181: +31 días; N3 termina 24/12/2027.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3 · Contabilidad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Cierres y estados (355–360) se diseñan antes que la ejecución AFSP.</w:t>
            </w:r>
          </w:p>
        </w:tc>
        <w:tc>
          <w:tcPr>
            <w:tcW w:type="dxa" w:w="3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A · Fuente de transición SIAF-SP (ya integrada en 344) + adecuación de cierres (N5) en 2028.</w:t>
            </w:r>
          </w:p>
        </w:tc>
        <w:tc>
          <w:tcPr>
            <w:tcW w:type="dxa" w:w="20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Sin cambios en 2026–2027; N5: 27/12/2027 – 18/02/2028.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4 · Clasificadores y Catálogos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Formulación (144) cierra su MFD antes que metas, catálogos v2 y clasificadores temáticos.</w:t>
            </w:r>
          </w:p>
        </w:tc>
        <w:tc>
          <w:tcPr>
            <w:tcW w:type="dxa" w:w="3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B · Versión mínima (estructura) al 15/01/2027 (M3, M4, M8, M9); versión completa en su fecha; temáticos desde la Formulación 2028.</w:t>
            </w:r>
          </w:p>
        </w:tc>
        <w:tc>
          <w:tcPr>
            <w:tcW w:type="dxa" w:w="20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Sin compresiones. 6 catálogos al 99 % se cierran al 13/11/2026.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5 · Inversiones – Presupuesto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La PMI (147) está en StandBy y bloquea el registro de proyectos (149) y la formulación por proyecto (150).</w:t>
            </w:r>
          </w:p>
        </w:tc>
        <w:tc>
          <w:tcPr>
            <w:tcW w:type="dxa" w:w="3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A · Reactivar 147, mover 149 y crear la Formulación v2 (N4) en lugar de adelantar 150.</w:t>
            </w:r>
          </w:p>
        </w:tc>
        <w:tc>
          <w:tcPr>
            <w:tcW w:type="dxa" w:w="20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149: +6 días; N4: 01/07/2027 – 11/08/2027.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6 · Endeudamiento – Contabilidad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El motor contable se actualiza por última vez en sep 2028; Endeudamiento diseña hasta dic 2029.</w:t>
            </w:r>
          </w:p>
        </w:tc>
        <w:tc>
          <w:tcPr>
            <w:tcW w:type="dxa" w:w="3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B · Actualizaciones 3 (N6) y 4 (N7) del motor, por bloques.</w:t>
            </w:r>
          </w:p>
        </w:tc>
        <w:tc>
          <w:tcPr>
            <w:tcW w:type="dxa" w:w="20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N6: abr–jun 2029; N7 termina 28/12/2029 (con el proyecto).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7 · Evaluación transversal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Cuatro sistemas no tienen procesos de Evaluación.</w:t>
            </w:r>
          </w:p>
        </w:tc>
        <w:tc>
          <w:tcPr>
            <w:tcW w:type="dxa" w:w="3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B · Evaluar vía Presupuesto, Inversiones y Contabilidad (CGR, EFP), con una validación final (N10). No se crean módulos nuevos.</w:t>
            </w:r>
          </w:p>
        </w:tc>
        <w:tc>
          <w:tcPr>
            <w:tcW w:type="dxa" w:w="20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N10: oct–dic 2029.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Montserrat" w:cs="Montserrat" w:eastAsia="Montserrat" w:hAnsi="Montserrat"/>
          <w:b/>
          <w:bCs/>
          <w:color w:val="E6375D"/>
          <w:sz w:val="19"/>
          <w:szCs w:val="19"/>
        </w:rPr>
        <w:t xml:space="preserve">Cuadro 3. Comparación de escenarios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2600"/>
        <w:gridCol w:w="2900"/>
        <w:gridCol w:w="2666"/>
      </w:tblGrid>
      <w:tr>
        <w:trPr>
          <w:tblHeader/>
        </w:trPr>
        <w:tc>
          <w:tcPr>
            <w:tcW w:type="dxa" w:w="1700"/>
            <w:tcBorders>
              <w:top w:val="single" w:color="004899" w:sz="4"/>
              <w:left w:val="single" w:color="004899" w:sz="4"/>
              <w:bottom w:val="single" w:color="004899" w:sz="4"/>
              <w:right w:val="single" w:color="004899" w:sz="4"/>
            </w:tcBorders>
            <w:shd w:fill="00489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Criterio</w:t>
            </w:r>
          </w:p>
        </w:tc>
        <w:tc>
          <w:tcPr>
            <w:tcW w:type="dxa" w:w="2600"/>
            <w:tcBorders>
              <w:top w:val="single" w:color="004899" w:sz="4"/>
              <w:left w:val="single" w:color="004899" w:sz="4"/>
              <w:bottom w:val="single" w:color="004899" w:sz="4"/>
              <w:right w:val="single" w:color="004899" w:sz="4"/>
            </w:tcBorders>
            <w:shd w:fill="00489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Escenario 1 – Conservador</w:t>
            </w:r>
          </w:p>
        </w:tc>
        <w:tc>
          <w:tcPr>
            <w:tcW w:type="dxa" w:w="2900"/>
            <w:tcBorders>
              <w:top w:val="single" w:color="004899" w:sz="4"/>
              <w:left w:val="single" w:color="004899" w:sz="4"/>
              <w:bottom w:val="single" w:color="004899" w:sz="4"/>
              <w:right w:val="single" w:color="004899" w:sz="4"/>
            </w:tcBorders>
            <w:shd w:fill="00489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Escenario 2 – Integración optimizada</w:t>
            </w:r>
          </w:p>
        </w:tc>
        <w:tc>
          <w:tcPr>
            <w:tcW w:type="dxa" w:w="2666"/>
            <w:tcBorders>
              <w:top w:val="single" w:color="004899" w:sz="4"/>
              <w:left w:val="single" w:color="004899" w:sz="4"/>
              <w:bottom w:val="single" w:color="004899" w:sz="4"/>
              <w:right w:val="single" w:color="004899" w:sz="4"/>
            </w:tcBorders>
            <w:shd w:fill="00489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Escenario 3 – Integración prioritaria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Fecha estimada de cierre del diseño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28/12/2029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28/12/2029</w:t>
            </w:r>
          </w:p>
        </w:tc>
        <w:tc>
          <w:tcPr>
            <w:tcW w:type="dxa" w:w="26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No verificable: posterior a 28/12/2029 si no se suman recursos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Dependencias resueltas (de 24)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7 resueltas · 5 condicionadas · 4 pendientes de decisión · 8 sin resolver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8 resueltas · 12 condicionadas · 4 pendientes de decisión · 0 sin resolver</w:t>
            </w:r>
          </w:p>
        </w:tc>
        <w:tc>
          <w:tcPr>
            <w:tcW w:type="dxa" w:w="26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9 resueltas · 15 condicionadas · 0 pendientes · 0 sin resolver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Alertas críticas pendientes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2 (mitigadas solo con hitos)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0 (condicionadas a validación de capacidad)</w:t>
            </w:r>
          </w:p>
        </w:tc>
        <w:tc>
          <w:tcPr>
            <w:tcW w:type="dxa" w:w="26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Actividades reprogramadas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12 (solo actualización por avance real)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16 con cambio de fecha + 9 nuevas + 15 hitos</w:t>
            </w:r>
          </w:p>
        </w:tc>
        <w:tc>
          <w:tcPr>
            <w:tcW w:type="dxa" w:w="26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Más de 22 con cambio de fecha + diferimiento de procesos no críticos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Impacto en recursos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Bajo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Medio: +1 a +2 actividades simultáneas en Presupuesto (feb–abr 2027) y Tesorería (may–jun 2027)</w:t>
            </w:r>
          </w:p>
        </w:tc>
        <w:tc>
          <w:tcPr>
            <w:tcW w:type="dxa" w:w="26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Alto: Tesorería y Contabilidad en paralelo en 2027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Riesgo residual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Alto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Medio</w:t>
            </w:r>
          </w:p>
        </w:tc>
        <w:tc>
          <w:tcPr>
            <w:tcW w:type="dxa" w:w="26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Medio (bajo funcional, alto de plazo)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Viabilidad</w:t>
            </w:r>
          </w:p>
        </w:tc>
        <w:tc>
          <w:tcPr>
            <w:tcW w:type="dxa" w:w="2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Alta</w:t>
            </w:r>
          </w:p>
        </w:tc>
        <w:tc>
          <w:tcPr>
            <w:tcW w:type="dxa" w:w="2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Media-alta (condicionada)</w:t>
            </w:r>
          </w:p>
        </w:tc>
        <w:tc>
          <w:tcPr>
            <w:tcW w:type="dxa" w:w="26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Baja sin recursos adicionales</w:t>
            </w:r>
          </w:p>
        </w:tc>
      </w:tr>
    </w:tbl>
    <w:p>
      <w:pPr>
        <w:spacing w:after="120"/>
      </w:pPr>
    </w:p>
    <w:p>
      <w:pPr>
        <w:spacing w:after="140" w:line="288"/>
      </w:pPr>
      <w:r>
        <w:rPr>
          <w:rFonts w:ascii="Montserrat" w:cs="Montserrat" w:eastAsia="Montserrat" w:hAnsi="Montserrat"/>
          <w:color w:val="4B4B4D"/>
          <w:sz w:val="20"/>
          <w:szCs w:val="20"/>
        </w:rPr>
        <w:t xml:space="preserve">El Escenario 1 deja sin resolver las dos alertas críticas. El Escenario 3 resuelve más, pero exige recursos que el .mpp no permite verificar y pone en riesgo el cierre. El Escenario 2 resuelve todas las dependencias críticas con una carga adicional acotada.</w:t>
      </w:r>
    </w:p>
    <w:p>
      <w:pPr>
        <w:pageBreakBefore/>
      </w:pPr>
    </w:p>
    <w:p>
      <w:pPr>
        <w:pStyle w:val="Heading1"/>
        <w:keepNext/>
        <w:spacing w:after="200" w:before="120"/>
      </w:pPr>
      <w:r>
        <w:rPr>
          <w:rFonts w:ascii="Montserrat SemiBold" w:cs="Montserrat SemiBold" w:eastAsia="Montserrat SemiBold" w:hAnsi="Montserrat SemiBold"/>
          <w:b/>
          <w:bCs/>
          <w:color w:val="E6375D"/>
          <w:sz w:val="34"/>
          <w:szCs w:val="34"/>
        </w:rPr>
        <w:t xml:space="preserve">3  </w:t>
      </w:r>
      <w:r>
        <w:rPr>
          <w:rFonts w:ascii="Montserrat SemiBold" w:cs="Montserrat SemiBold" w:eastAsia="Montserrat SemiBold" w:hAnsi="Montserrat SemiBold"/>
          <w:b/>
          <w:bCs/>
          <w:color w:val="004899"/>
          <w:sz w:val="34"/>
          <w:szCs w:val="34"/>
        </w:rPr>
        <w:t xml:space="preserve">Principales ajustes de fechas</w:t>
      </w:r>
    </w:p>
    <w:p>
      <w:pPr>
        <w:spacing w:after="140" w:line="288"/>
      </w:pPr>
      <w:r>
        <w:rPr>
          <w:rFonts w:ascii="Montserrat" w:cs="Montserrat" w:eastAsia="Montserrat" w:hAnsi="Montserrat"/>
          <w:b/>
          <w:bCs/>
          <w:color w:val="004899"/>
          <w:sz w:val="20"/>
          <w:szCs w:val="20"/>
        </w:rPr>
        <w:t xml:space="preserve">Se modifican 16 actividades existentes y se crean 9 tareas nuevas; ninguna actividad completada cambia de fecha.</w:t>
      </w:r>
      <w:r>
        <w:rPr>
          <w:rFonts w:ascii="Montserrat" w:cs="Montserrat" w:eastAsia="Montserrat" w:hAnsi="Montserrat"/>
          <w:color w:val="4B4B4D"/>
          <w:sz w:val="20"/>
          <w:szCs w:val="20"/>
        </w:rPr>
        <w:t xml:space="preserve"> Todas las fechas se calcularon con el calendario del .mpp y se verificaron contra la red de 87 vínculos: no hay conflictos ni dependencias circulares.</w:t>
      </w:r>
    </w:p>
    <w:p>
      <w:pPr>
        <w:keepNext/>
        <w:spacing w:after="100" w:before="200"/>
      </w:pPr>
      <w:r>
        <w:rPr>
          <w:rFonts w:ascii="Montserrat" w:cs="Montserrat" w:eastAsia="Montserrat" w:hAnsi="Montserrat"/>
          <w:b/>
          <w:bCs/>
          <w:color w:val="E6375D"/>
          <w:sz w:val="19"/>
          <w:szCs w:val="19"/>
        </w:rPr>
        <w:t xml:space="preserve">Cuadro 4. Ajustes principales (detalle completo en la Matriz Maestra)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1200"/>
        <w:gridCol w:w="2866"/>
        <w:gridCol w:w="1450"/>
        <w:gridCol w:w="1450"/>
        <w:gridCol w:w="1000"/>
        <w:gridCol w:w="1300"/>
      </w:tblGrid>
      <w:tr>
        <w:trPr>
          <w:tblHeader/>
        </w:trPr>
        <w:tc>
          <w:tcPr>
            <w:tcW w:type="dxa" w:w="600"/>
            <w:tcBorders>
              <w:top w:val="single" w:color="004899" w:sz="4"/>
              <w:left w:val="single" w:color="004899" w:sz="4"/>
              <w:bottom w:val="single" w:color="004899" w:sz="4"/>
              <w:right w:val="single" w:color="004899" w:sz="4"/>
            </w:tcBorders>
            <w:shd w:fill="00489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200"/>
            <w:tcBorders>
              <w:top w:val="single" w:color="004899" w:sz="4"/>
              <w:left w:val="single" w:color="004899" w:sz="4"/>
              <w:bottom w:val="single" w:color="004899" w:sz="4"/>
              <w:right w:val="single" w:color="004899" w:sz="4"/>
            </w:tcBorders>
            <w:shd w:fill="00489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Sistema</w:t>
            </w:r>
          </w:p>
        </w:tc>
        <w:tc>
          <w:tcPr>
            <w:tcW w:type="dxa" w:w="2866"/>
            <w:tcBorders>
              <w:top w:val="single" w:color="004899" w:sz="4"/>
              <w:left w:val="single" w:color="004899" w:sz="4"/>
              <w:bottom w:val="single" w:color="004899" w:sz="4"/>
              <w:right w:val="single" w:color="004899" w:sz="4"/>
            </w:tcBorders>
            <w:shd w:fill="00489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Actividad</w:t>
            </w:r>
          </w:p>
        </w:tc>
        <w:tc>
          <w:tcPr>
            <w:tcW w:type="dxa" w:w="1450"/>
            <w:tcBorders>
              <w:top w:val="single" w:color="004899" w:sz="4"/>
              <w:left w:val="single" w:color="004899" w:sz="4"/>
              <w:bottom w:val="single" w:color="004899" w:sz="4"/>
              <w:right w:val="single" w:color="004899" w:sz="4"/>
            </w:tcBorders>
            <w:shd w:fill="00489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Actual</w:t>
            </w:r>
          </w:p>
        </w:tc>
        <w:tc>
          <w:tcPr>
            <w:tcW w:type="dxa" w:w="1450"/>
            <w:tcBorders>
              <w:top w:val="single" w:color="004899" w:sz="4"/>
              <w:left w:val="single" w:color="004899" w:sz="4"/>
              <w:bottom w:val="single" w:color="004899" w:sz="4"/>
              <w:right w:val="single" w:color="004899" w:sz="4"/>
            </w:tcBorders>
            <w:shd w:fill="00489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Propuesto</w:t>
            </w:r>
          </w:p>
        </w:tc>
        <w:tc>
          <w:tcPr>
            <w:tcW w:type="dxa" w:w="1000"/>
            <w:tcBorders>
              <w:top w:val="single" w:color="004899" w:sz="4"/>
              <w:left w:val="single" w:color="004899" w:sz="4"/>
              <w:bottom w:val="single" w:color="004899" w:sz="4"/>
              <w:right w:val="single" w:color="004899" w:sz="4"/>
            </w:tcBorders>
            <w:shd w:fill="00489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Variación del fin (días)</w:t>
            </w:r>
          </w:p>
        </w:tc>
        <w:tc>
          <w:tcPr>
            <w:tcW w:type="dxa" w:w="1300"/>
            <w:tcBorders>
              <w:top w:val="single" w:color="004899" w:sz="4"/>
              <w:left w:val="single" w:color="004899" w:sz="4"/>
              <w:bottom w:val="single" w:color="004899" w:sz="4"/>
              <w:right w:val="single" w:color="004899" w:sz="4"/>
            </w:tcBorders>
            <w:shd w:fill="00489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N1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Tesorería</w:t>
            </w:r>
          </w:p>
        </w:tc>
        <w:tc>
          <w:tcPr>
            <w:tcW w:type="dxa" w:w="28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Asignación de pago – versión mínima (cuota de pago v1 con reglas vigentes)</w:t>
            </w:r>
          </w:p>
        </w:tc>
        <w:tc>
          <w:tcPr>
            <w:tcW w:type="dxa" w:w="1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No existe</w:t>
            </w:r>
          </w:p>
        </w:tc>
        <w:tc>
          <w:tcPr>
            <w:tcW w:type="dxa" w:w="1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03/05/2027 – 02/06/2027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Nueva</w:t>
            </w:r>
          </w:p>
        </w:tc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F5BB47"/>
                <w:sz w:val="20"/>
                <w:szCs w:val="20"/>
              </w:rPr>
              <w:t xml:space="preserve">● </w:t>
            </w:r>
            <w:r>
              <w:rPr>
                <w:rFonts w:ascii="Montserrat" w:cs="Montserrat" w:eastAsia="Montserrat" w:hAnsi="Montserrat"/>
                <w:b/>
                <w:bCs/>
                <w:color w:val="4B4B4D"/>
                <w:sz w:val="16"/>
                <w:szCs w:val="16"/>
              </w:rPr>
              <w:t xml:space="preserve">Tentativa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N2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Presupuesto</w:t>
            </w:r>
          </w:p>
        </w:tc>
        <w:tc>
          <w:tcPr>
            <w:tcW w:type="dxa" w:w="28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Certificación y modelo común de datos del gasto (certificación, compromiso y devengado)</w:t>
            </w:r>
          </w:p>
        </w:tc>
        <w:tc>
          <w:tcPr>
            <w:tcW w:type="dxa" w:w="1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No existe</w:t>
            </w:r>
          </w:p>
        </w:tc>
        <w:tc>
          <w:tcPr>
            <w:tcW w:type="dxa" w:w="1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01/02/2027 – 02/04/2027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Nueva</w:t>
            </w:r>
          </w:p>
        </w:tc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F5BB47"/>
                <w:sz w:val="20"/>
                <w:szCs w:val="20"/>
              </w:rPr>
              <w:t xml:space="preserve">● </w:t>
            </w:r>
            <w:r>
              <w:rPr>
                <w:rFonts w:ascii="Montserrat" w:cs="Montserrat" w:eastAsia="Montserrat" w:hAnsi="Montserrat"/>
                <w:b/>
                <w:bCs/>
                <w:color w:val="4B4B4D"/>
                <w:sz w:val="16"/>
                <w:szCs w:val="16"/>
              </w:rPr>
              <w:t xml:space="preserve">Tentativa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181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Presupuesto</w:t>
            </w:r>
          </w:p>
        </w:tc>
        <w:tc>
          <w:tcPr>
            <w:tcW w:type="dxa" w:w="28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Compromiso de gastos de bienes, servicios y obras</w:t>
            </w:r>
          </w:p>
        </w:tc>
        <w:tc>
          <w:tcPr>
            <w:tcW w:type="dxa" w:w="1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01/06/2027 – 31/07/2027</w:t>
            </w:r>
          </w:p>
        </w:tc>
        <w:tc>
          <w:tcPr>
            <w:tcW w:type="dxa" w:w="1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30/06/2027 – 31/08/2027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+31</w:t>
            </w:r>
          </w:p>
        </w:tc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F5BB47"/>
                <w:sz w:val="20"/>
                <w:szCs w:val="20"/>
              </w:rPr>
              <w:t xml:space="preserve">● </w:t>
            </w:r>
            <w:r>
              <w:rPr>
                <w:rFonts w:ascii="Montserrat" w:cs="Montserrat" w:eastAsia="Montserrat" w:hAnsi="Montserrat"/>
                <w:b/>
                <w:bCs/>
                <w:color w:val="4B4B4D"/>
                <w:sz w:val="16"/>
                <w:szCs w:val="16"/>
              </w:rPr>
              <w:t xml:space="preserve">Tentativa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N3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Presupuesto</w:t>
            </w:r>
          </w:p>
        </w:tc>
        <w:tc>
          <w:tcPr>
            <w:tcW w:type="dxa" w:w="28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Devengado de gastos de bienes, servicios y obras</w:t>
            </w:r>
          </w:p>
        </w:tc>
        <w:tc>
          <w:tcPr>
            <w:tcW w:type="dxa" w:w="1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No existe</w:t>
            </w:r>
          </w:p>
        </w:tc>
        <w:tc>
          <w:tcPr>
            <w:tcW w:type="dxa" w:w="1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01/11/2027 – 24/12/2027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Nueva</w:t>
            </w:r>
          </w:p>
        </w:tc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F5BB47"/>
                <w:sz w:val="20"/>
                <w:szCs w:val="20"/>
              </w:rPr>
              <w:t xml:space="preserve">● </w:t>
            </w:r>
            <w:r>
              <w:rPr>
                <w:rFonts w:ascii="Montserrat" w:cs="Montserrat" w:eastAsia="Montserrat" w:hAnsi="Montserrat"/>
                <w:b/>
                <w:bCs/>
                <w:color w:val="4B4B4D"/>
                <w:sz w:val="16"/>
                <w:szCs w:val="16"/>
              </w:rPr>
              <w:t xml:space="preserve">Tentativa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186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Presupuesto</w:t>
            </w:r>
          </w:p>
        </w:tc>
        <w:tc>
          <w:tcPr>
            <w:tcW w:type="dxa" w:w="28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Ejecución de gastos de operaciones de endeudamiento</w:t>
            </w:r>
          </w:p>
        </w:tc>
        <w:tc>
          <w:tcPr>
            <w:tcW w:type="dxa" w:w="1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16/08/2027 – 15/10/2027</w:t>
            </w:r>
          </w:p>
        </w:tc>
        <w:tc>
          <w:tcPr>
            <w:tcW w:type="dxa" w:w="1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24/09/2027 – 25/11/2027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+41</w:t>
            </w:r>
          </w:p>
        </w:tc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3BB4AA"/>
                <w:sz w:val="20"/>
                <w:szCs w:val="20"/>
              </w:rPr>
              <w:t xml:space="preserve">● </w:t>
            </w:r>
            <w:r>
              <w:rPr>
                <w:rFonts w:ascii="Montserrat" w:cs="Montserrat" w:eastAsia="Montserrat" w:hAnsi="Montserrat"/>
                <w:b/>
                <w:bCs/>
                <w:color w:val="4B4B4D"/>
                <w:sz w:val="16"/>
                <w:szCs w:val="16"/>
              </w:rPr>
              <w:t xml:space="preserve">Calculada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147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Inversiones</w:t>
            </w:r>
          </w:p>
        </w:tc>
        <w:tc>
          <w:tcPr>
            <w:tcW w:type="dxa" w:w="28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Elaboración de la PMI y PMIE</w:t>
            </w:r>
          </w:p>
        </w:tc>
        <w:tc>
          <w:tcPr>
            <w:tcW w:type="dxa" w:w="1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01/09/2026 – 30/11/2026</w:t>
            </w:r>
          </w:p>
        </w:tc>
        <w:tc>
          <w:tcPr>
            <w:tcW w:type="dxa" w:w="1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01/09/2026 – 04/12/2026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+4</w:t>
            </w:r>
          </w:p>
        </w:tc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0093F8"/>
                <w:sz w:val="20"/>
                <w:szCs w:val="20"/>
              </w:rPr>
              <w:t xml:space="preserve">● </w:t>
            </w:r>
            <w:r>
              <w:rPr>
                <w:rFonts w:ascii="Montserrat" w:cs="Montserrat" w:eastAsia="Montserrat" w:hAnsi="Montserrat"/>
                <w:b/>
                <w:bCs/>
                <w:color w:val="4B4B4D"/>
                <w:sz w:val="16"/>
                <w:szCs w:val="16"/>
              </w:rPr>
              <w:t xml:space="preserve">Pendiente de decisión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149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Inversiones</w:t>
            </w:r>
          </w:p>
        </w:tc>
        <w:tc>
          <w:tcPr>
            <w:tcW w:type="dxa" w:w="28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Registro estructura del Proyecto y su relación con la Estructura Presupuestaria</w:t>
            </w:r>
          </w:p>
        </w:tc>
        <w:tc>
          <w:tcPr>
            <w:tcW w:type="dxa" w:w="1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01/12/2026 – 30/01/2027</w:t>
            </w:r>
          </w:p>
        </w:tc>
        <w:tc>
          <w:tcPr>
            <w:tcW w:type="dxa" w:w="1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07/12/2026 – 05/02/2027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+6</w:t>
            </w:r>
          </w:p>
        </w:tc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F5BB47"/>
                <w:sz w:val="20"/>
                <w:szCs w:val="20"/>
              </w:rPr>
              <w:t xml:space="preserve">● </w:t>
            </w:r>
            <w:r>
              <w:rPr>
                <w:rFonts w:ascii="Montserrat" w:cs="Montserrat" w:eastAsia="Montserrat" w:hAnsi="Montserrat"/>
                <w:b/>
                <w:bCs/>
                <w:color w:val="4B4B4D"/>
                <w:sz w:val="16"/>
                <w:szCs w:val="16"/>
              </w:rPr>
              <w:t xml:space="preserve">Tentativa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N4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Presupuesto</w:t>
            </w:r>
          </w:p>
        </w:tc>
        <w:tc>
          <w:tcPr>
            <w:tcW w:type="dxa" w:w="28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Actualización del MFD de Formulación para proyectos de inversión (Formulación v2)</w:t>
            </w:r>
          </w:p>
        </w:tc>
        <w:tc>
          <w:tcPr>
            <w:tcW w:type="dxa" w:w="1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No existe</w:t>
            </w:r>
          </w:p>
        </w:tc>
        <w:tc>
          <w:tcPr>
            <w:tcW w:type="dxa" w:w="1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01/07/2027 – 11/08/2027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Nueva</w:t>
            </w:r>
          </w:p>
        </w:tc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F5BB47"/>
                <w:sz w:val="20"/>
                <w:szCs w:val="20"/>
              </w:rPr>
              <w:t xml:space="preserve">● </w:t>
            </w:r>
            <w:r>
              <w:rPr>
                <w:rFonts w:ascii="Montserrat" w:cs="Montserrat" w:eastAsia="Montserrat" w:hAnsi="Montserrat"/>
                <w:b/>
                <w:bCs/>
                <w:color w:val="4B4B4D"/>
                <w:sz w:val="16"/>
                <w:szCs w:val="16"/>
              </w:rPr>
              <w:t xml:space="preserve">Tentativa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N5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Contabilidad</w:t>
            </w:r>
          </w:p>
        </w:tc>
        <w:tc>
          <w:tcPr>
            <w:tcW w:type="dxa" w:w="28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Adecuación de cierres y estados presupuestales a las fuentes AFSP</w:t>
            </w:r>
          </w:p>
        </w:tc>
        <w:tc>
          <w:tcPr>
            <w:tcW w:type="dxa" w:w="1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No existe</w:t>
            </w:r>
          </w:p>
        </w:tc>
        <w:tc>
          <w:tcPr>
            <w:tcW w:type="dxa" w:w="1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27/12/2027 – 18/02/2028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Nueva</w:t>
            </w:r>
          </w:p>
        </w:tc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F5BB47"/>
                <w:sz w:val="20"/>
                <w:szCs w:val="20"/>
              </w:rPr>
              <w:t xml:space="preserve">● </w:t>
            </w:r>
            <w:r>
              <w:rPr>
                <w:rFonts w:ascii="Montserrat" w:cs="Montserrat" w:eastAsia="Montserrat" w:hAnsi="Montserrat"/>
                <w:b/>
                <w:bCs/>
                <w:color w:val="4B4B4D"/>
                <w:sz w:val="16"/>
                <w:szCs w:val="16"/>
              </w:rPr>
              <w:t xml:space="preserve">Tentativa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N6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Contabilidad</w:t>
            </w:r>
          </w:p>
        </w:tc>
        <w:tc>
          <w:tcPr>
            <w:tcW w:type="dxa" w:w="28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Actualización 3 de Catálogo de Eventos y Motor de Contabilización</w:t>
            </w:r>
          </w:p>
        </w:tc>
        <w:tc>
          <w:tcPr>
            <w:tcW w:type="dxa" w:w="1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No existe</w:t>
            </w:r>
          </w:p>
        </w:tc>
        <w:tc>
          <w:tcPr>
            <w:tcW w:type="dxa" w:w="1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02/04/2029 – 01/06/2029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Nueva</w:t>
            </w:r>
          </w:p>
        </w:tc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F5BB47"/>
                <w:sz w:val="20"/>
                <w:szCs w:val="20"/>
              </w:rPr>
              <w:t xml:space="preserve">● </w:t>
            </w:r>
            <w:r>
              <w:rPr>
                <w:rFonts w:ascii="Montserrat" w:cs="Montserrat" w:eastAsia="Montserrat" w:hAnsi="Montserrat"/>
                <w:b/>
                <w:bCs/>
                <w:color w:val="4B4B4D"/>
                <w:sz w:val="16"/>
                <w:szCs w:val="16"/>
              </w:rPr>
              <w:t xml:space="preserve">Tentativa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N7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Contabilidad</w:t>
            </w:r>
          </w:p>
        </w:tc>
        <w:tc>
          <w:tcPr>
            <w:tcW w:type="dxa" w:w="28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Actualización 4 de Catálogo de Eventos y Motor de Contabilización</w:t>
            </w:r>
          </w:p>
        </w:tc>
        <w:tc>
          <w:tcPr>
            <w:tcW w:type="dxa" w:w="1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No existe</w:t>
            </w:r>
          </w:p>
        </w:tc>
        <w:tc>
          <w:tcPr>
            <w:tcW w:type="dxa" w:w="1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01/10/2029 – 28/12/2029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Nueva</w:t>
            </w:r>
          </w:p>
        </w:tc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F5BB47"/>
                <w:sz w:val="20"/>
                <w:szCs w:val="20"/>
              </w:rPr>
              <w:t xml:space="preserve">● </w:t>
            </w:r>
            <w:r>
              <w:rPr>
                <w:rFonts w:ascii="Montserrat" w:cs="Montserrat" w:eastAsia="Montserrat" w:hAnsi="Montserrat"/>
                <w:b/>
                <w:bCs/>
                <w:color w:val="4B4B4D"/>
                <w:sz w:val="16"/>
                <w:szCs w:val="16"/>
              </w:rPr>
              <w:t xml:space="preserve">Tentativa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N10</w:t>
            </w:r>
          </w:p>
        </w:tc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Contabilidad</w:t>
            </w:r>
          </w:p>
        </w:tc>
        <w:tc>
          <w:tcPr>
            <w:tcW w:type="dxa" w:w="28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Validación de la integración Gestión 2028–2029 con Cuenta General y Estadísticas de Finanzas Públicas</w:t>
            </w:r>
          </w:p>
        </w:tc>
        <w:tc>
          <w:tcPr>
            <w:tcW w:type="dxa" w:w="1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No existe</w:t>
            </w:r>
          </w:p>
        </w:tc>
        <w:tc>
          <w:tcPr>
            <w:tcW w:type="dxa" w:w="1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01/10/2029 – 28/12/2029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Nueva</w:t>
            </w:r>
          </w:p>
        </w:tc>
        <w:tc>
          <w:tcPr>
            <w:tcW w:type="dxa" w:w="1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F5BB47"/>
                <w:sz w:val="20"/>
                <w:szCs w:val="20"/>
              </w:rPr>
              <w:t xml:space="preserve">● </w:t>
            </w:r>
            <w:r>
              <w:rPr>
                <w:rFonts w:ascii="Montserrat" w:cs="Montserrat" w:eastAsia="Montserrat" w:hAnsi="Montserrat"/>
                <w:b/>
                <w:bCs/>
                <w:color w:val="4B4B4D"/>
                <w:sz w:val="16"/>
                <w:szCs w:val="16"/>
              </w:rPr>
              <w:t xml:space="preserve">Tentativa</w:t>
            </w:r>
          </w:p>
        </w:tc>
      </w:tr>
    </w:tbl>
    <w:p>
      <w:pPr>
        <w:spacing w:after="120"/>
      </w:pPr>
    </w:p>
    <w:p>
      <w:pPr>
        <w:spacing w:after="140" w:line="288"/>
      </w:pPr>
      <w:r>
        <w:rPr>
          <w:rFonts w:ascii="Montserrat" w:cs="Montserrat" w:eastAsia="Montserrat" w:hAnsi="Montserrat"/>
          <w:color w:val="4B4B4D"/>
          <w:sz w:val="20"/>
          <w:szCs w:val="20"/>
        </w:rPr>
        <w:t xml:space="preserve">Además: 6 catálogos vencidos al 99 % se cierran formalmente al 13/11/2026 (25, 46, 59, 60, 62 y 63), y 6 actividades que debieron empezar y siguen en 0 % inician el 02/11/2026 con su misma duración (48, 51, 81, 130, 250 y 251).</w:t>
      </w:r>
    </w:p>
    <w:p>
      <w:pPr>
        <w:keepNext/>
        <w:spacing w:after="100" w:before="200"/>
      </w:pPr>
      <w:r>
        <w:rPr>
          <w:rFonts w:ascii="Montserrat" w:cs="Montserrat" w:eastAsia="Montserrat" w:hAnsi="Montserrat"/>
          <w:b/>
          <w:bCs/>
          <w:color w:val="E6375D"/>
          <w:sz w:val="19"/>
          <w:szCs w:val="19"/>
        </w:rPr>
        <w:t xml:space="preserve">Gráfico 1. Detalle de la reprogramación</w:t>
      </w:r>
    </w:p>
    <w:p>
      <w:pPr>
        <w:spacing w:after="120" w:before="60"/>
        <w:jc w:val="center"/>
      </w:pPr>
      <w:r>
        <w:drawing>
          <wp:inline distT="0" distB="0" distL="0" distR="0">
            <wp:extent cx="5391150" cy="3895725"/>
            <wp:effectExtent t="0" r="0" b="0" l="0"/>
            <wp:docPr id="1" name="gantt_detalle.png" descr="Gráfico del informe" title="gantt_detal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200" w:before="120"/>
      </w:pPr>
      <w:r>
        <w:rPr>
          <w:rFonts w:ascii="Montserrat SemiBold" w:cs="Montserrat SemiBold" w:eastAsia="Montserrat SemiBold" w:hAnsi="Montserrat SemiBold"/>
          <w:b/>
          <w:bCs/>
          <w:color w:val="E6375D"/>
          <w:sz w:val="34"/>
          <w:szCs w:val="34"/>
        </w:rPr>
        <w:t xml:space="preserve">4  </w:t>
      </w:r>
      <w:r>
        <w:rPr>
          <w:rFonts w:ascii="Montserrat SemiBold" w:cs="Montserrat SemiBold" w:eastAsia="Montserrat SemiBold" w:hAnsi="Montserrat SemiBold"/>
          <w:b/>
          <w:bCs/>
          <w:color w:val="004899"/>
          <w:sz w:val="34"/>
          <w:szCs w:val="34"/>
        </w:rPr>
        <w:t xml:space="preserve">Hitos de integración</w:t>
      </w:r>
    </w:p>
    <w:p>
      <w:pPr>
        <w:spacing w:after="140" w:line="288"/>
      </w:pPr>
      <w:r>
        <w:rPr>
          <w:rFonts w:ascii="Montserrat" w:cs="Montserrat" w:eastAsia="Montserrat" w:hAnsi="Montserrat"/>
          <w:b/>
          <w:bCs/>
          <w:color w:val="004899"/>
          <w:sz w:val="20"/>
          <w:szCs w:val="20"/>
        </w:rPr>
        <w:t xml:space="preserve">Siete hitos permiten comprobar que los sistemas quedan articulados, desde los catálogos (15/01/2027) hasta la integración completa (28/12/2029).</w:t>
      </w:r>
      <w:r>
        <w:rPr>
          <w:rFonts w:ascii="Montserrat" w:cs="Montserrat" w:eastAsia="Montserrat" w:hAnsi="Montserrat"/>
          <w:color w:val="4B4B4D"/>
          <w:sz w:val="20"/>
          <w:szCs w:val="20"/>
        </w:rPr>
        <w:t xml:space="preserve"> Son hitos de aprobación del diseño. Los hitos de software y puesta en uso no son verificables: el .mpp no programa la construcción (C3), y se solicitará a la fábrica alinearla a estos siete hitos.</w:t>
      </w:r>
    </w:p>
    <w:p>
      <w:pPr>
        <w:keepNext/>
        <w:spacing w:after="100" w:before="200"/>
      </w:pPr>
      <w:r>
        <w:rPr>
          <w:rFonts w:ascii="Montserrat" w:cs="Montserrat" w:eastAsia="Montserrat" w:hAnsi="Montserrat"/>
          <w:b/>
          <w:bCs/>
          <w:color w:val="E6375D"/>
          <w:sz w:val="19"/>
          <w:szCs w:val="19"/>
        </w:rPr>
        <w:t xml:space="preserve">Cuadro 5. Hitos de integración del diseño funcional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1450"/>
        <w:gridCol w:w="1450"/>
        <w:gridCol w:w="1150"/>
        <w:gridCol w:w="2416"/>
        <w:gridCol w:w="1400"/>
      </w:tblGrid>
      <w:tr>
        <w:trPr>
          <w:tblHeader/>
        </w:trPr>
        <w:tc>
          <w:tcPr>
            <w:tcW w:type="dxa" w:w="2000"/>
            <w:tcBorders>
              <w:top w:val="single" w:color="004899" w:sz="4"/>
              <w:left w:val="single" w:color="004899" w:sz="4"/>
              <w:bottom w:val="single" w:color="004899" w:sz="4"/>
              <w:right w:val="single" w:color="004899" w:sz="4"/>
            </w:tcBorders>
            <w:shd w:fill="00489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Hito</w:t>
            </w:r>
          </w:p>
        </w:tc>
        <w:tc>
          <w:tcPr>
            <w:tcW w:type="dxa" w:w="1450"/>
            <w:tcBorders>
              <w:top w:val="single" w:color="004899" w:sz="4"/>
              <w:left w:val="single" w:color="004899" w:sz="4"/>
              <w:bottom w:val="single" w:color="004899" w:sz="4"/>
              <w:right w:val="single" w:color="004899" w:sz="4"/>
            </w:tcBorders>
            <w:shd w:fill="00489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Sistemas</w:t>
            </w:r>
          </w:p>
        </w:tc>
        <w:tc>
          <w:tcPr>
            <w:tcW w:type="dxa" w:w="1450"/>
            <w:tcBorders>
              <w:top w:val="single" w:color="004899" w:sz="4"/>
              <w:left w:val="single" w:color="004899" w:sz="4"/>
              <w:bottom w:val="single" w:color="004899" w:sz="4"/>
              <w:right w:val="single" w:color="004899" w:sz="4"/>
            </w:tcBorders>
            <w:shd w:fill="00489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Entregables</w:t>
            </w:r>
          </w:p>
        </w:tc>
        <w:tc>
          <w:tcPr>
            <w:tcW w:type="dxa" w:w="1150"/>
            <w:tcBorders>
              <w:top w:val="single" w:color="004899" w:sz="4"/>
              <w:left w:val="single" w:color="004899" w:sz="4"/>
              <w:bottom w:val="single" w:color="004899" w:sz="4"/>
              <w:right w:val="single" w:color="004899" w:sz="4"/>
            </w:tcBorders>
            <w:shd w:fill="00489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Fecha objetivo</w:t>
            </w:r>
          </w:p>
        </w:tc>
        <w:tc>
          <w:tcPr>
            <w:tcW w:type="dxa" w:w="2416"/>
            <w:tcBorders>
              <w:top w:val="single" w:color="004899" w:sz="4"/>
              <w:left w:val="single" w:color="004899" w:sz="4"/>
              <w:bottom w:val="single" w:color="004899" w:sz="4"/>
              <w:right w:val="single" w:color="004899" w:sz="4"/>
            </w:tcBorders>
            <w:shd w:fill="00489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Criterio de aceptación</w:t>
            </w:r>
          </w:p>
        </w:tc>
        <w:tc>
          <w:tcPr>
            <w:tcW w:type="dxa" w:w="1400"/>
            <w:tcBorders>
              <w:top w:val="single" w:color="004899" w:sz="4"/>
              <w:left w:val="single" w:color="004899" w:sz="4"/>
              <w:bottom w:val="single" w:color="004899" w:sz="4"/>
              <w:right w:val="single" w:color="004899" w:sz="4"/>
            </w:tcBorders>
            <w:shd w:fill="00489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H1 · Clasificadores y Catálogos (versión mínima) disponibles para Programación</w:t>
            </w:r>
          </w:p>
        </w:tc>
        <w:tc>
          <w:tcPr>
            <w:tcW w:type="dxa" w:w="1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Presupuesto, Endeudamiento, Tesorería, Inversiones</w:t>
            </w:r>
          </w:p>
        </w:tc>
        <w:tc>
          <w:tcPr>
            <w:tcW w:type="dxa" w:w="1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M3 (estructura de 46, 47, 65, 66, 128–132); M5</w:t>
            </w:r>
          </w:p>
        </w:tc>
        <w:tc>
          <w:tcPr>
            <w:tcW w:type="dxa" w:w="11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15/01/2027</w:t>
            </w:r>
          </w:p>
        </w:tc>
        <w:tc>
          <w:tcPr>
            <w:tcW w:type="dxa" w:w="241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Estructuras aprobadas por la DG y cargadas en el Administrador de Catálogos (sin poblado completo)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CAF Presupuesto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H2 · Programación integrada entre sistemas</w:t>
            </w:r>
          </w:p>
        </w:tc>
        <w:tc>
          <w:tcPr>
            <w:tcW w:type="dxa" w:w="1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Presupuesto, Inversiones, Endeudamiento, Tesorería, Abastecimiento</w:t>
            </w:r>
          </w:p>
        </w:tc>
        <w:tc>
          <w:tcPr>
            <w:tcW w:type="dxa" w:w="1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138, 144, 145, 149, 153, 160, 169; M4, M8, M9</w:t>
            </w:r>
          </w:p>
        </w:tc>
        <w:tc>
          <w:tcPr>
            <w:tcW w:type="dxa" w:w="11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05/02/2027</w:t>
            </w:r>
          </w:p>
        </w:tc>
        <w:tc>
          <w:tcPr>
            <w:tcW w:type="dxa" w:w="241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MFD de Formulación con metas, deuda, ingresos y estructura de proyectos referenciados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CAF Presupuesto + Coordinación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H3 · Programación y Gestión articuladas</w:t>
            </w:r>
          </w:p>
        </w:tc>
        <w:tc>
          <w:tcPr>
            <w:tcW w:type="dxa" w:w="1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Presupuesto, Inversiones</w:t>
            </w:r>
          </w:p>
        </w:tc>
        <w:tc>
          <w:tcPr>
            <w:tcW w:type="dxa" w:w="1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173, 175, 176</w:t>
            </w:r>
          </w:p>
        </w:tc>
        <w:tc>
          <w:tcPr>
            <w:tcW w:type="dxa" w:w="11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31/05/2027</w:t>
            </w:r>
          </w:p>
        </w:tc>
        <w:tc>
          <w:tcPr>
            <w:tcW w:type="dxa" w:w="241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Apertura y cuotas de compromiso diseñadas sobre el presupuesto aprobado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CAF Presupuesto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H4 · Ciclo certificación–compromiso–devengado–pago integrado</w:t>
            </w:r>
          </w:p>
        </w:tc>
        <w:tc>
          <w:tcPr>
            <w:tcW w:type="dxa" w:w="1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Presupuesto, Abastecimiento, Tesorería, GFRH</w:t>
            </w:r>
          </w:p>
        </w:tc>
        <w:tc>
          <w:tcPr>
            <w:tcW w:type="dxa" w:w="1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N2, M1, 181, M2, N3, N1, 234, 236, M6</w:t>
            </w:r>
          </w:p>
        </w:tc>
        <w:tc>
          <w:tcPr>
            <w:tcW w:type="dxa" w:w="11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24/12/2027</w:t>
            </w:r>
          </w:p>
        </w:tc>
        <w:tc>
          <w:tcPr>
            <w:tcW w:type="dxa" w:w="241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Modelo común de datos del gasto aprobado por los cuatro CAF; trazabilidad de la orden al pago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Mesa de integración interCAF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H5 · Gestión y Contabilidad articuladas (motor contable v2)</w:t>
            </w:r>
          </w:p>
        </w:tc>
        <w:tc>
          <w:tcPr>
            <w:tcW w:type="dxa" w:w="1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Contabilidad y los seis sistemas de Gestión</w:t>
            </w:r>
          </w:p>
        </w:tc>
        <w:tc>
          <w:tcPr>
            <w:tcW w:type="dxa" w:w="1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346, 347</w:t>
            </w:r>
          </w:p>
        </w:tc>
        <w:tc>
          <w:tcPr>
            <w:tcW w:type="dxa" w:w="11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22/09/2028</w:t>
            </w:r>
          </w:p>
        </w:tc>
        <w:tc>
          <w:tcPr>
            <w:tcW w:type="dxa" w:w="241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Catálogo de Eventos con los eventos de ejecución, pagos y deuda etapa 1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CAF Contabilidad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H6 · Gestión y Evaluación articuladas</w:t>
            </w:r>
          </w:p>
        </w:tc>
        <w:tc>
          <w:tcPr>
            <w:tcW w:type="dxa" w:w="1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Presupuesto, Inversiones, Contabilidad</w:t>
            </w:r>
          </w:p>
        </w:tc>
        <w:tc>
          <w:tcPr>
            <w:tcW w:type="dxa" w:w="1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363, 373, 352, N5</w:t>
            </w:r>
          </w:p>
        </w:tc>
        <w:tc>
          <w:tcPr>
            <w:tcW w:type="dxa" w:w="11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16/09/2028</w:t>
            </w:r>
          </w:p>
        </w:tc>
        <w:tc>
          <w:tcPr>
            <w:tcW w:type="dxa" w:w="241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Evaluación presupuestaria, de inversiones y Cuenta General diseñadas con las fuentes AFSP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CAF Contabilidad + CAF Presupuesto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H7 · Integración funcional completa de los siete sistemas (diseño)</w:t>
            </w:r>
          </w:p>
        </w:tc>
        <w:tc>
          <w:tcPr>
            <w:tcW w:type="dxa" w:w="1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Los siete</w:t>
            </w:r>
          </w:p>
        </w:tc>
        <w:tc>
          <w:tcPr>
            <w:tcW w:type="dxa" w:w="14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N6, N7, N10, 296</w:t>
            </w:r>
          </w:p>
        </w:tc>
        <w:tc>
          <w:tcPr>
            <w:tcW w:type="dxa" w:w="11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28/12/2029</w:t>
            </w:r>
          </w:p>
        </w:tc>
        <w:tc>
          <w:tcPr>
            <w:tcW w:type="dxa" w:w="241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Motor contable y Evaluación cubren todos los procesos diseñados hasta dic 2029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Coordinación del Proyecto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Montserrat" w:cs="Montserrat" w:eastAsia="Montserrat" w:hAnsi="Montserrat"/>
          <w:b/>
          <w:bCs/>
          <w:color w:val="E6375D"/>
          <w:sz w:val="19"/>
          <w:szCs w:val="19"/>
        </w:rPr>
        <w:t xml:space="preserve">Gráfico 2. Cronograma integrado: actual frente a propuesto</w:t>
      </w:r>
    </w:p>
    <w:p>
      <w:pPr>
        <w:spacing w:after="120" w:before="60"/>
        <w:jc w:val="center"/>
      </w:pPr>
      <w:r>
        <w:drawing>
          <wp:inline distT="0" distB="0" distL="0" distR="0">
            <wp:extent cx="5391150" cy="3733800"/>
            <wp:effectExtent t="0" r="0" b="0" l="0"/>
            <wp:docPr id="1" name="gantt_consolidado.png" descr="Gráfico del informe" title="gantt_consolida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200" w:before="120"/>
      </w:pPr>
      <w:r>
        <w:rPr>
          <w:rFonts w:ascii="Montserrat SemiBold" w:cs="Montserrat SemiBold" w:eastAsia="Montserrat SemiBold" w:hAnsi="Montserrat SemiBold"/>
          <w:b/>
          <w:bCs/>
          <w:color w:val="E6375D"/>
          <w:sz w:val="34"/>
          <w:szCs w:val="34"/>
        </w:rPr>
        <w:t xml:space="preserve">5  </w:t>
      </w:r>
      <w:r>
        <w:rPr>
          <w:rFonts w:ascii="Montserrat SemiBold" w:cs="Montserrat SemiBold" w:eastAsia="Montserrat SemiBold" w:hAnsi="Montserrat SemiBold"/>
          <w:b/>
          <w:bCs/>
          <w:color w:val="004899"/>
          <w:sz w:val="34"/>
          <w:szCs w:val="34"/>
        </w:rPr>
        <w:t xml:space="preserve">Riesgos residuales</w:t>
      </w:r>
    </w:p>
    <w:p>
      <w:pPr>
        <w:spacing w:after="140" w:line="288"/>
      </w:pPr>
      <w:r>
        <w:rPr>
          <w:rFonts w:ascii="Montserrat" w:cs="Montserrat" w:eastAsia="Montserrat" w:hAnsi="Montserrat"/>
          <w:b/>
          <w:bCs/>
          <w:color w:val="004899"/>
          <w:sz w:val="20"/>
          <w:szCs w:val="20"/>
        </w:rPr>
        <w:t xml:space="preserve">De 21 hallazgos, 7 quedan resueltos en la propuesta, 9 condicionados a validación, 4 pendientes de decisión y 1 sin resolver.</w:t>
      </w:r>
      <w:r>
        <w:rPr>
          <w:rFonts w:ascii="Montserrat" w:cs="Montserrat" w:eastAsia="Montserrat" w:hAnsi="Montserrat"/>
          <w:color w:val="4B4B4D"/>
          <w:sz w:val="20"/>
          <w:szCs w:val="20"/>
        </w:rPr>
        <w:t xml:space="preserve"> No se declara resuelto lo que depende de una decisión o de recursos no confirmados.</w:t>
      </w:r>
    </w:p>
    <w:p>
      <w:pPr>
        <w:keepNext/>
        <w:spacing w:after="100" w:before="200"/>
      </w:pPr>
      <w:r>
        <w:rPr>
          <w:rFonts w:ascii="Montserrat" w:cs="Montserrat" w:eastAsia="Montserrat" w:hAnsi="Montserrat"/>
          <w:b/>
          <w:bCs/>
          <w:color w:val="E6375D"/>
          <w:sz w:val="19"/>
          <w:szCs w:val="19"/>
        </w:rPr>
        <w:t xml:space="preserve">Cuadro 6. Riesgos que siguen abiertos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1000"/>
        <w:gridCol w:w="3066"/>
        <w:gridCol w:w="1000"/>
        <w:gridCol w:w="1800"/>
      </w:tblGrid>
      <w:tr>
        <w:trPr>
          <w:tblHeader/>
        </w:trPr>
        <w:tc>
          <w:tcPr>
            <w:tcW w:type="dxa" w:w="3000"/>
            <w:tcBorders>
              <w:top w:val="single" w:color="004899" w:sz="4"/>
              <w:left w:val="single" w:color="004899" w:sz="4"/>
              <w:bottom w:val="single" w:color="004899" w:sz="4"/>
              <w:right w:val="single" w:color="004899" w:sz="4"/>
            </w:tcBorders>
            <w:shd w:fill="00489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Hallazgo</w:t>
            </w:r>
          </w:p>
        </w:tc>
        <w:tc>
          <w:tcPr>
            <w:tcW w:type="dxa" w:w="1000"/>
            <w:tcBorders>
              <w:top w:val="single" w:color="004899" w:sz="4"/>
              <w:left w:val="single" w:color="004899" w:sz="4"/>
              <w:bottom w:val="single" w:color="004899" w:sz="4"/>
              <w:right w:val="single" w:color="004899" w:sz="4"/>
            </w:tcBorders>
            <w:shd w:fill="00489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Riesgo inicial</w:t>
            </w:r>
          </w:p>
        </w:tc>
        <w:tc>
          <w:tcPr>
            <w:tcW w:type="dxa" w:w="3066"/>
            <w:tcBorders>
              <w:top w:val="single" w:color="004899" w:sz="4"/>
              <w:left w:val="single" w:color="004899" w:sz="4"/>
              <w:bottom w:val="single" w:color="004899" w:sz="4"/>
              <w:right w:val="single" w:color="004899" w:sz="4"/>
            </w:tcBorders>
            <w:shd w:fill="00489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Solución</w:t>
            </w:r>
          </w:p>
        </w:tc>
        <w:tc>
          <w:tcPr>
            <w:tcW w:type="dxa" w:w="1000"/>
            <w:tcBorders>
              <w:top w:val="single" w:color="004899" w:sz="4"/>
              <w:left w:val="single" w:color="004899" w:sz="4"/>
              <w:bottom w:val="single" w:color="004899" w:sz="4"/>
              <w:right w:val="single" w:color="004899" w:sz="4"/>
            </w:tcBorders>
            <w:shd w:fill="00489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Riesgo residual</w:t>
            </w:r>
          </w:p>
        </w:tc>
        <w:tc>
          <w:tcPr>
            <w:tcW w:type="dxa" w:w="1800"/>
            <w:tcBorders>
              <w:top w:val="single" w:color="004899" w:sz="4"/>
              <w:left w:val="single" w:color="004899" w:sz="4"/>
              <w:bottom w:val="single" w:color="004899" w:sz="4"/>
              <w:right w:val="single" w:color="004899" w:sz="4"/>
            </w:tcBorders>
            <w:shd w:fill="00489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1 · Cuota de pago después de Pagos (Tesorería)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ED3237"/>
                <w:sz w:val="20"/>
                <w:szCs w:val="20"/>
              </w:rPr>
              <w:t xml:space="preserve">● </w:t>
            </w:r>
            <w:r>
              <w:rPr>
                <w:rFonts w:ascii="Montserrat" w:cs="Montserrat" w:eastAsia="Montserrat" w:hAnsi="Montserrat"/>
                <w:b/>
                <w:bCs/>
                <w:color w:val="4B4B4D"/>
                <w:sz w:val="16"/>
                <w:szCs w:val="16"/>
              </w:rPr>
              <w:t xml:space="preserve">Crítica</w:t>
            </w:r>
          </w:p>
        </w:tc>
        <w:tc>
          <w:tcPr>
            <w:tcW w:type="dxa" w:w="30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Cuota v1 (N1) + v2 (163)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0093F8"/>
                <w:sz w:val="20"/>
                <w:szCs w:val="20"/>
              </w:rPr>
              <w:t xml:space="preserve">● </w:t>
            </w:r>
            <w:r>
              <w:rPr>
                <w:rFonts w:ascii="Montserrat" w:cs="Montserrat" w:eastAsia="Montserrat" w:hAnsi="Montserrat"/>
                <w:b/>
                <w:bCs/>
                <w:color w:val="4B4B4D"/>
                <w:sz w:val="16"/>
                <w:szCs w:val="16"/>
              </w:rPr>
              <w:t xml:space="preserve">Media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F5BB47"/>
                <w:sz w:val="20"/>
                <w:szCs w:val="20"/>
              </w:rPr>
              <w:t xml:space="preserve">● </w:t>
            </w:r>
            <w:r>
              <w:rPr>
                <w:rFonts w:ascii="Montserrat" w:cs="Montserrat" w:eastAsia="Montserrat" w:hAnsi="Montserrat"/>
                <w:b/>
                <w:bCs/>
                <w:color w:val="4B4B4D"/>
                <w:sz w:val="16"/>
                <w:szCs w:val="16"/>
              </w:rPr>
              <w:t xml:space="preserve">Condicionado a validación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2 · OC/OS y Conformidad después de la ejecución (Abastecimiento–Presupuesto)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ED3237"/>
                <w:sz w:val="20"/>
                <w:szCs w:val="20"/>
              </w:rPr>
              <w:t xml:space="preserve">● </w:t>
            </w:r>
            <w:r>
              <w:rPr>
                <w:rFonts w:ascii="Montserrat" w:cs="Montserrat" w:eastAsia="Montserrat" w:hAnsi="Montserrat"/>
                <w:b/>
                <w:bCs/>
                <w:color w:val="4B4B4D"/>
                <w:sz w:val="16"/>
                <w:szCs w:val="16"/>
              </w:rPr>
              <w:t xml:space="preserve">Crítica</w:t>
            </w:r>
          </w:p>
        </w:tc>
        <w:tc>
          <w:tcPr>
            <w:tcW w:type="dxa" w:w="30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División N2 / 181 / N3 + entregas M1 y M2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0093F8"/>
                <w:sz w:val="20"/>
                <w:szCs w:val="20"/>
              </w:rPr>
              <w:t xml:space="preserve">● </w:t>
            </w:r>
            <w:r>
              <w:rPr>
                <w:rFonts w:ascii="Montserrat" w:cs="Montserrat" w:eastAsia="Montserrat" w:hAnsi="Montserrat"/>
                <w:b/>
                <w:bCs/>
                <w:color w:val="4B4B4D"/>
                <w:sz w:val="16"/>
                <w:szCs w:val="16"/>
              </w:rPr>
              <w:t xml:space="preserve">Media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F5BB47"/>
                <w:sz w:val="20"/>
                <w:szCs w:val="20"/>
              </w:rPr>
              <w:t xml:space="preserve">● </w:t>
            </w:r>
            <w:r>
              <w:rPr>
                <w:rFonts w:ascii="Montserrat" w:cs="Montserrat" w:eastAsia="Montserrat" w:hAnsi="Montserrat"/>
                <w:b/>
                <w:bCs/>
                <w:color w:val="4B4B4D"/>
                <w:sz w:val="16"/>
                <w:szCs w:val="16"/>
              </w:rPr>
              <w:t xml:space="preserve">Condicionado a validación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3 · Cronograma sin lógica de red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F5BB47"/>
                <w:sz w:val="20"/>
                <w:szCs w:val="20"/>
              </w:rPr>
              <w:t xml:space="preserve">● </w:t>
            </w:r>
            <w:r>
              <w:rPr>
                <w:rFonts w:ascii="Montserrat" w:cs="Montserrat" w:eastAsia="Montserrat" w:hAnsi="Montserrat"/>
                <w:b/>
                <w:bCs/>
                <w:color w:val="4B4B4D"/>
                <w:sz w:val="16"/>
                <w:szCs w:val="16"/>
              </w:rPr>
              <w:t xml:space="preserve">Alta</w:t>
            </w:r>
          </w:p>
        </w:tc>
        <w:tc>
          <w:tcPr>
            <w:tcW w:type="dxa" w:w="30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87 vínculos verificados + línea base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3BB4AA"/>
                <w:sz w:val="20"/>
                <w:szCs w:val="20"/>
              </w:rPr>
              <w:t xml:space="preserve">● </w:t>
            </w:r>
            <w:r>
              <w:rPr>
                <w:rFonts w:ascii="Montserrat" w:cs="Montserrat" w:eastAsia="Montserrat" w:hAnsi="Montserrat"/>
                <w:b/>
                <w:bCs/>
                <w:color w:val="4B4B4D"/>
                <w:sz w:val="16"/>
                <w:szCs w:val="16"/>
              </w:rPr>
              <w:t xml:space="preserve">Baja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F5BB47"/>
                <w:sz w:val="20"/>
                <w:szCs w:val="20"/>
              </w:rPr>
              <w:t xml:space="preserve">● </w:t>
            </w:r>
            <w:r>
              <w:rPr>
                <w:rFonts w:ascii="Montserrat" w:cs="Montserrat" w:eastAsia="Montserrat" w:hAnsi="Montserrat"/>
                <w:b/>
                <w:bCs/>
                <w:color w:val="4B4B4D"/>
                <w:sz w:val="16"/>
                <w:szCs w:val="16"/>
              </w:rPr>
              <w:t xml:space="preserve">Condicionado a validación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4 · Cierres contables antes que la ejecución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F5BB47"/>
                <w:sz w:val="20"/>
                <w:szCs w:val="20"/>
              </w:rPr>
              <w:t xml:space="preserve">● </w:t>
            </w:r>
            <w:r>
              <w:rPr>
                <w:rFonts w:ascii="Montserrat" w:cs="Montserrat" w:eastAsia="Montserrat" w:hAnsi="Montserrat"/>
                <w:b/>
                <w:bCs/>
                <w:color w:val="4B4B4D"/>
                <w:sz w:val="16"/>
                <w:szCs w:val="16"/>
              </w:rPr>
              <w:t xml:space="preserve">Alta</w:t>
            </w:r>
          </w:p>
        </w:tc>
        <w:tc>
          <w:tcPr>
            <w:tcW w:type="dxa" w:w="30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Escenario A + adecuación N5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0093F8"/>
                <w:sz w:val="20"/>
                <w:szCs w:val="20"/>
              </w:rPr>
              <w:t xml:space="preserve">● </w:t>
            </w:r>
            <w:r>
              <w:rPr>
                <w:rFonts w:ascii="Montserrat" w:cs="Montserrat" w:eastAsia="Montserrat" w:hAnsi="Montserrat"/>
                <w:b/>
                <w:bCs/>
                <w:color w:val="4B4B4D"/>
                <w:sz w:val="16"/>
                <w:szCs w:val="16"/>
              </w:rPr>
              <w:t xml:space="preserve">Media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0093F8"/>
                <w:sz w:val="20"/>
                <w:szCs w:val="20"/>
              </w:rPr>
              <w:t xml:space="preserve">● </w:t>
            </w:r>
            <w:r>
              <w:rPr>
                <w:rFonts w:ascii="Montserrat" w:cs="Montserrat" w:eastAsia="Montserrat" w:hAnsi="Montserrat"/>
                <w:b/>
                <w:bCs/>
                <w:color w:val="4B4B4D"/>
                <w:sz w:val="16"/>
                <w:szCs w:val="16"/>
              </w:rPr>
              <w:t xml:space="preserve">Pendiente de decisión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5 · Motor contable sin actualizar después de 2028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F5BB47"/>
                <w:sz w:val="20"/>
                <w:szCs w:val="20"/>
              </w:rPr>
              <w:t xml:space="preserve">● </w:t>
            </w:r>
            <w:r>
              <w:rPr>
                <w:rFonts w:ascii="Montserrat" w:cs="Montserrat" w:eastAsia="Montserrat" w:hAnsi="Montserrat"/>
                <w:b/>
                <w:bCs/>
                <w:color w:val="4B4B4D"/>
                <w:sz w:val="16"/>
                <w:szCs w:val="16"/>
              </w:rPr>
              <w:t xml:space="preserve">Alta</w:t>
            </w:r>
          </w:p>
        </w:tc>
        <w:tc>
          <w:tcPr>
            <w:tcW w:type="dxa" w:w="30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Actualizaciones 3 y 4 (N6, N7)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3BB4AA"/>
                <w:sz w:val="20"/>
                <w:szCs w:val="20"/>
              </w:rPr>
              <w:t xml:space="preserve">● </w:t>
            </w:r>
            <w:r>
              <w:rPr>
                <w:rFonts w:ascii="Montserrat" w:cs="Montserrat" w:eastAsia="Montserrat" w:hAnsi="Montserrat"/>
                <w:b/>
                <w:bCs/>
                <w:color w:val="4B4B4D"/>
                <w:sz w:val="16"/>
                <w:szCs w:val="16"/>
              </w:rPr>
              <w:t xml:space="preserve">Baja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F5BB47"/>
                <w:sz w:val="20"/>
                <w:szCs w:val="20"/>
              </w:rPr>
              <w:t xml:space="preserve">● </w:t>
            </w:r>
            <w:r>
              <w:rPr>
                <w:rFonts w:ascii="Montserrat" w:cs="Montserrat" w:eastAsia="Montserrat" w:hAnsi="Montserrat"/>
                <w:b/>
                <w:bCs/>
                <w:color w:val="4B4B4D"/>
                <w:sz w:val="16"/>
                <w:szCs w:val="16"/>
              </w:rPr>
              <w:t xml:space="preserve">Condicionado a validación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6 · Metas, clasificadores y catálogos v2 tarde para Formulación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F5BB47"/>
                <w:sz w:val="20"/>
                <w:szCs w:val="20"/>
              </w:rPr>
              <w:t xml:space="preserve">● </w:t>
            </w:r>
            <w:r>
              <w:rPr>
                <w:rFonts w:ascii="Montserrat" w:cs="Montserrat" w:eastAsia="Montserrat" w:hAnsi="Montserrat"/>
                <w:b/>
                <w:bCs/>
                <w:color w:val="4B4B4D"/>
                <w:sz w:val="16"/>
                <w:szCs w:val="16"/>
              </w:rPr>
              <w:t xml:space="preserve">Alta</w:t>
            </w:r>
          </w:p>
        </w:tc>
        <w:tc>
          <w:tcPr>
            <w:tcW w:type="dxa" w:w="30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Hitos M3 y M4 + DEC-6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0093F8"/>
                <w:sz w:val="20"/>
                <w:szCs w:val="20"/>
              </w:rPr>
              <w:t xml:space="preserve">● </w:t>
            </w:r>
            <w:r>
              <w:rPr>
                <w:rFonts w:ascii="Montserrat" w:cs="Montserrat" w:eastAsia="Montserrat" w:hAnsi="Montserrat"/>
                <w:b/>
                <w:bCs/>
                <w:color w:val="4B4B4D"/>
                <w:sz w:val="16"/>
                <w:szCs w:val="16"/>
              </w:rPr>
              <w:t xml:space="preserve">Media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F5BB47"/>
                <w:sz w:val="20"/>
                <w:szCs w:val="20"/>
              </w:rPr>
              <w:t xml:space="preserve">● </w:t>
            </w:r>
            <w:r>
              <w:rPr>
                <w:rFonts w:ascii="Montserrat" w:cs="Montserrat" w:eastAsia="Montserrat" w:hAnsi="Montserrat"/>
                <w:b/>
                <w:bCs/>
                <w:color w:val="4B4B4D"/>
                <w:sz w:val="16"/>
                <w:szCs w:val="16"/>
              </w:rPr>
              <w:t xml:space="preserve">Condicionado a validación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7 · PMI en StandBy y formulación por proyecto desfasada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F5BB47"/>
                <w:sz w:val="20"/>
                <w:szCs w:val="20"/>
              </w:rPr>
              <w:t xml:space="preserve">● </w:t>
            </w:r>
            <w:r>
              <w:rPr>
                <w:rFonts w:ascii="Montserrat" w:cs="Montserrat" w:eastAsia="Montserrat" w:hAnsi="Montserrat"/>
                <w:b/>
                <w:bCs/>
                <w:color w:val="4B4B4D"/>
                <w:sz w:val="16"/>
                <w:szCs w:val="16"/>
              </w:rPr>
              <w:t xml:space="preserve">Alta</w:t>
            </w:r>
          </w:p>
        </w:tc>
        <w:tc>
          <w:tcPr>
            <w:tcW w:type="dxa" w:w="30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Reactivar 147, mover 149, Formulación v2 (N4)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0093F8"/>
                <w:sz w:val="20"/>
                <w:szCs w:val="20"/>
              </w:rPr>
              <w:t xml:space="preserve">● </w:t>
            </w:r>
            <w:r>
              <w:rPr>
                <w:rFonts w:ascii="Montserrat" w:cs="Montserrat" w:eastAsia="Montserrat" w:hAnsi="Montserrat"/>
                <w:b/>
                <w:bCs/>
                <w:color w:val="4B4B4D"/>
                <w:sz w:val="16"/>
                <w:szCs w:val="16"/>
              </w:rPr>
              <w:t xml:space="preserve">Media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0093F8"/>
                <w:sz w:val="20"/>
                <w:szCs w:val="20"/>
              </w:rPr>
              <w:t xml:space="preserve">● </w:t>
            </w:r>
            <w:r>
              <w:rPr>
                <w:rFonts w:ascii="Montserrat" w:cs="Montserrat" w:eastAsia="Montserrat" w:hAnsi="Montserrat"/>
                <w:b/>
                <w:bCs/>
                <w:color w:val="4B4B4D"/>
                <w:sz w:val="16"/>
                <w:szCs w:val="16"/>
              </w:rPr>
              <w:t xml:space="preserve">Pendiente de decisión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8 · Deuda e ingresos 10 días tarde para Formulación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0093F8"/>
                <w:sz w:val="20"/>
                <w:szCs w:val="20"/>
              </w:rPr>
              <w:t xml:space="preserve">● </w:t>
            </w:r>
            <w:r>
              <w:rPr>
                <w:rFonts w:ascii="Montserrat" w:cs="Montserrat" w:eastAsia="Montserrat" w:hAnsi="Montserrat"/>
                <w:b/>
                <w:bCs/>
                <w:color w:val="4B4B4D"/>
                <w:sz w:val="16"/>
                <w:szCs w:val="16"/>
              </w:rPr>
              <w:t xml:space="preserve">Media</w:t>
            </w:r>
          </w:p>
        </w:tc>
        <w:tc>
          <w:tcPr>
            <w:tcW w:type="dxa" w:w="30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Hitos M8 y M9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3BB4AA"/>
                <w:sz w:val="20"/>
                <w:szCs w:val="20"/>
              </w:rPr>
              <w:t xml:space="preserve">● </w:t>
            </w:r>
            <w:r>
              <w:rPr>
                <w:rFonts w:ascii="Montserrat" w:cs="Montserrat" w:eastAsia="Montserrat" w:hAnsi="Montserrat"/>
                <w:b/>
                <w:bCs/>
                <w:color w:val="4B4B4D"/>
                <w:sz w:val="16"/>
                <w:szCs w:val="16"/>
              </w:rPr>
              <w:t xml:space="preserve">Baja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F5BB47"/>
                <w:sz w:val="20"/>
                <w:szCs w:val="20"/>
              </w:rPr>
              <w:t xml:space="preserve">● </w:t>
            </w:r>
            <w:r>
              <w:rPr>
                <w:rFonts w:ascii="Montserrat" w:cs="Montserrat" w:eastAsia="Montserrat" w:hAnsi="Montserrat"/>
                <w:b/>
                <w:bCs/>
                <w:color w:val="4B4B4D"/>
                <w:sz w:val="16"/>
                <w:szCs w:val="16"/>
              </w:rPr>
              <w:t xml:space="preserve">Condicionado a validación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9 · Duplicidad de convenios y desembolsos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0093F8"/>
                <w:sz w:val="20"/>
                <w:szCs w:val="20"/>
              </w:rPr>
              <w:t xml:space="preserve">● </w:t>
            </w:r>
            <w:r>
              <w:rPr>
                <w:rFonts w:ascii="Montserrat" w:cs="Montserrat" w:eastAsia="Montserrat" w:hAnsi="Montserrat"/>
                <w:b/>
                <w:bCs/>
                <w:color w:val="4B4B4D"/>
                <w:sz w:val="16"/>
                <w:szCs w:val="16"/>
              </w:rPr>
              <w:t xml:space="preserve">Media</w:t>
            </w:r>
          </w:p>
        </w:tc>
        <w:tc>
          <w:tcPr>
            <w:tcW w:type="dxa" w:w="30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Titular único (DEC-5)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0093F8"/>
                <w:sz w:val="20"/>
                <w:szCs w:val="20"/>
              </w:rPr>
              <w:t xml:space="preserve">● </w:t>
            </w:r>
            <w:r>
              <w:rPr>
                <w:rFonts w:ascii="Montserrat" w:cs="Montserrat" w:eastAsia="Montserrat" w:hAnsi="Montserrat"/>
                <w:b/>
                <w:bCs/>
                <w:color w:val="4B4B4D"/>
                <w:sz w:val="16"/>
                <w:szCs w:val="16"/>
              </w:rPr>
              <w:t xml:space="preserve">Media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0093F8"/>
                <w:sz w:val="20"/>
                <w:szCs w:val="20"/>
              </w:rPr>
              <w:t xml:space="preserve">● </w:t>
            </w:r>
            <w:r>
              <w:rPr>
                <w:rFonts w:ascii="Montserrat" w:cs="Montserrat" w:eastAsia="Montserrat" w:hAnsi="Montserrat"/>
                <w:b/>
                <w:bCs/>
                <w:color w:val="4B4B4D"/>
                <w:sz w:val="16"/>
                <w:szCs w:val="16"/>
              </w:rPr>
              <w:t xml:space="preserve">Pendiente de decisión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10 · 33 actividades fuera del PMO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0093F8"/>
                <w:sz w:val="20"/>
                <w:szCs w:val="20"/>
              </w:rPr>
              <w:t xml:space="preserve">● </w:t>
            </w:r>
            <w:r>
              <w:rPr>
                <w:rFonts w:ascii="Montserrat" w:cs="Montserrat" w:eastAsia="Montserrat" w:hAnsi="Montserrat"/>
                <w:b/>
                <w:bCs/>
                <w:color w:val="4B4B4D"/>
                <w:sz w:val="16"/>
                <w:szCs w:val="16"/>
              </w:rPr>
              <w:t xml:space="preserve">Media</w:t>
            </w:r>
          </w:p>
        </w:tc>
        <w:tc>
          <w:tcPr>
            <w:tcW w:type="dxa" w:w="30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Incorporar las del ciclo del gasto (DEC-7)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0093F8"/>
                <w:sz w:val="20"/>
                <w:szCs w:val="20"/>
              </w:rPr>
              <w:t xml:space="preserve">● </w:t>
            </w:r>
            <w:r>
              <w:rPr>
                <w:rFonts w:ascii="Montserrat" w:cs="Montserrat" w:eastAsia="Montserrat" w:hAnsi="Montserrat"/>
                <w:b/>
                <w:bCs/>
                <w:color w:val="4B4B4D"/>
                <w:sz w:val="16"/>
                <w:szCs w:val="16"/>
              </w:rPr>
              <w:t xml:space="preserve">Media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0093F8"/>
                <w:sz w:val="20"/>
                <w:szCs w:val="20"/>
              </w:rPr>
              <w:t xml:space="preserve">● </w:t>
            </w:r>
            <w:r>
              <w:rPr>
                <w:rFonts w:ascii="Montserrat" w:cs="Montserrat" w:eastAsia="Montserrat" w:hAnsi="Montserrat"/>
                <w:b/>
                <w:bCs/>
                <w:color w:val="4B4B4D"/>
                <w:sz w:val="16"/>
                <w:szCs w:val="16"/>
              </w:rPr>
              <w:t xml:space="preserve">Pendiente de decisión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11 · Cuatro sistemas sin Evaluación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0093F8"/>
                <w:sz w:val="20"/>
                <w:szCs w:val="20"/>
              </w:rPr>
              <w:t xml:space="preserve">● </w:t>
            </w:r>
            <w:r>
              <w:rPr>
                <w:rFonts w:ascii="Montserrat" w:cs="Montserrat" w:eastAsia="Montserrat" w:hAnsi="Montserrat"/>
                <w:b/>
                <w:bCs/>
                <w:color w:val="4B4B4D"/>
                <w:sz w:val="16"/>
                <w:szCs w:val="16"/>
              </w:rPr>
              <w:t xml:space="preserve">Media</w:t>
            </w:r>
          </w:p>
        </w:tc>
        <w:tc>
          <w:tcPr>
            <w:tcW w:type="dxa" w:w="30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Modelo transversal + validación N10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3BB4AA"/>
                <w:sz w:val="20"/>
                <w:szCs w:val="20"/>
              </w:rPr>
              <w:t xml:space="preserve">● </w:t>
            </w:r>
            <w:r>
              <w:rPr>
                <w:rFonts w:ascii="Montserrat" w:cs="Montserrat" w:eastAsia="Montserrat" w:hAnsi="Montserrat"/>
                <w:b/>
                <w:bCs/>
                <w:color w:val="4B4B4D"/>
                <w:sz w:val="16"/>
                <w:szCs w:val="16"/>
              </w:rPr>
              <w:t xml:space="preserve">Baja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F5BB47"/>
                <w:sz w:val="20"/>
                <w:szCs w:val="20"/>
              </w:rPr>
              <w:t xml:space="preserve">● </w:t>
            </w:r>
            <w:r>
              <w:rPr>
                <w:rFonts w:ascii="Montserrat" w:cs="Montserrat" w:eastAsia="Montserrat" w:hAnsi="Montserrat"/>
                <w:b/>
                <w:bCs/>
                <w:color w:val="4B4B4D"/>
                <w:sz w:val="16"/>
                <w:szCs w:val="16"/>
              </w:rPr>
              <w:t xml:space="preserve">Condicionado a validación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14 · Calidad de datos del cronograma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0093F8"/>
                <w:sz w:val="20"/>
                <w:szCs w:val="20"/>
              </w:rPr>
              <w:t xml:space="preserve">● </w:t>
            </w:r>
            <w:r>
              <w:rPr>
                <w:rFonts w:ascii="Montserrat" w:cs="Montserrat" w:eastAsia="Montserrat" w:hAnsi="Montserrat"/>
                <w:b/>
                <w:bCs/>
                <w:color w:val="4B4B4D"/>
                <w:sz w:val="16"/>
                <w:szCs w:val="16"/>
              </w:rPr>
              <w:t xml:space="preserve">Media</w:t>
            </w:r>
          </w:p>
        </w:tc>
        <w:tc>
          <w:tcPr>
            <w:tcW w:type="dxa" w:w="30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Regularización + depuración del .mpp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3BB4AA"/>
                <w:sz w:val="20"/>
                <w:szCs w:val="20"/>
              </w:rPr>
              <w:t xml:space="preserve">● </w:t>
            </w:r>
            <w:r>
              <w:rPr>
                <w:rFonts w:ascii="Montserrat" w:cs="Montserrat" w:eastAsia="Montserrat" w:hAnsi="Montserrat"/>
                <w:b/>
                <w:bCs/>
                <w:color w:val="4B4B4D"/>
                <w:sz w:val="16"/>
                <w:szCs w:val="16"/>
              </w:rPr>
              <w:t xml:space="preserve">Baja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F5BB47"/>
                <w:sz w:val="20"/>
                <w:szCs w:val="20"/>
              </w:rPr>
              <w:t xml:space="preserve">● </w:t>
            </w:r>
            <w:r>
              <w:rPr>
                <w:rFonts w:ascii="Montserrat" w:cs="Montserrat" w:eastAsia="Montserrat" w:hAnsi="Montserrat"/>
                <w:b/>
                <w:bCs/>
                <w:color w:val="4B4B4D"/>
                <w:sz w:val="16"/>
                <w:szCs w:val="16"/>
              </w:rPr>
              <w:t xml:space="preserve">Condicionado a validación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Nuevo · Certificación antes de las Actuaciones preparatorias (D23)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F5BB47"/>
                <w:sz w:val="20"/>
                <w:szCs w:val="20"/>
              </w:rPr>
              <w:t xml:space="preserve">● </w:t>
            </w:r>
            <w:r>
              <w:rPr>
                <w:rFonts w:ascii="Montserrat" w:cs="Montserrat" w:eastAsia="Montserrat" w:hAnsi="Montserrat"/>
                <w:b/>
                <w:bCs/>
                <w:color w:val="4B4B4D"/>
                <w:sz w:val="16"/>
                <w:szCs w:val="16"/>
              </w:rPr>
              <w:t xml:space="preserve">Alta</w:t>
            </w:r>
          </w:p>
        </w:tc>
        <w:tc>
          <w:tcPr>
            <w:tcW w:type="dxa" w:w="30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Certificación y modelo común de datos (N2)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0093F8"/>
                <w:sz w:val="20"/>
                <w:szCs w:val="20"/>
              </w:rPr>
              <w:t xml:space="preserve">● </w:t>
            </w:r>
            <w:r>
              <w:rPr>
                <w:rFonts w:ascii="Montserrat" w:cs="Montserrat" w:eastAsia="Montserrat" w:hAnsi="Montserrat"/>
                <w:b/>
                <w:bCs/>
                <w:color w:val="4B4B4D"/>
                <w:sz w:val="16"/>
                <w:szCs w:val="16"/>
              </w:rPr>
              <w:t xml:space="preserve">Media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F5BB47"/>
                <w:sz w:val="20"/>
                <w:szCs w:val="20"/>
              </w:rPr>
              <w:t xml:space="preserve">● </w:t>
            </w:r>
            <w:r>
              <w:rPr>
                <w:rFonts w:ascii="Montserrat" w:cs="Montserrat" w:eastAsia="Montserrat" w:hAnsi="Montserrat"/>
                <w:b/>
                <w:bCs/>
                <w:color w:val="4B4B4D"/>
                <w:sz w:val="16"/>
                <w:szCs w:val="16"/>
              </w:rPr>
              <w:t xml:space="preserve">Condicionado a validación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Nuevo · Construcción del software (C3) sin programar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F5BB47"/>
                <w:sz w:val="20"/>
                <w:szCs w:val="20"/>
              </w:rPr>
              <w:t xml:space="preserve">● </w:t>
            </w:r>
            <w:r>
              <w:rPr>
                <w:rFonts w:ascii="Montserrat" w:cs="Montserrat" w:eastAsia="Montserrat" w:hAnsi="Montserrat"/>
                <w:b/>
                <w:bCs/>
                <w:color w:val="4B4B4D"/>
                <w:sz w:val="16"/>
                <w:szCs w:val="16"/>
              </w:rPr>
              <w:t xml:space="preserve">Alta</w:t>
            </w:r>
          </w:p>
        </w:tc>
        <w:tc>
          <w:tcPr>
            <w:tcW w:type="dxa" w:w="30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Cronograma C3 alineado a H1–H7 (DEC-9)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F5BB47"/>
                <w:sz w:val="20"/>
                <w:szCs w:val="20"/>
              </w:rPr>
              <w:t xml:space="preserve">● </w:t>
            </w:r>
            <w:r>
              <w:rPr>
                <w:rFonts w:ascii="Montserrat" w:cs="Montserrat" w:eastAsia="Montserrat" w:hAnsi="Montserrat"/>
                <w:b/>
                <w:bCs/>
                <w:color w:val="4B4B4D"/>
                <w:sz w:val="16"/>
                <w:szCs w:val="16"/>
              </w:rPr>
              <w:t xml:space="preserve">Alta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ED3237"/>
                <w:sz w:val="20"/>
                <w:szCs w:val="20"/>
              </w:rPr>
              <w:t xml:space="preserve">● </w:t>
            </w:r>
            <w:r>
              <w:rPr>
                <w:rFonts w:ascii="Montserrat" w:cs="Montserrat" w:eastAsia="Montserrat" w:hAnsi="Montserrat"/>
                <w:b/>
                <w:bCs/>
                <w:color w:val="4B4B4D"/>
                <w:sz w:val="16"/>
                <w:szCs w:val="16"/>
              </w:rPr>
              <w:t xml:space="preserve">No resuelto</w:t>
            </w:r>
          </w:p>
        </w:tc>
      </w:tr>
    </w:tbl>
    <w:p>
      <w:pPr>
        <w:spacing w:after="120"/>
      </w:pPr>
    </w:p>
    <w:p>
      <w:pPr>
        <w:spacing w:after="140" w:line="288"/>
      </w:pPr>
      <w:r>
        <w:rPr>
          <w:rFonts w:ascii="Montserrat" w:cs="Montserrat" w:eastAsia="Montserrat" w:hAnsi="Montserrat"/>
          <w:b/>
          <w:bCs/>
          <w:color w:val="004899"/>
          <w:sz w:val="20"/>
          <w:szCs w:val="20"/>
        </w:rPr>
        <w:t xml:space="preserve">Restricciones conocidas:</w:t>
      </w:r>
      <w:r>
        <w:rPr>
          <w:rFonts w:ascii="Montserrat" w:cs="Montserrat" w:eastAsia="Montserrat" w:hAnsi="Montserrat"/>
          <w:color w:val="4B4B4D"/>
          <w:sz w:val="20"/>
          <w:szCs w:val="20"/>
        </w:rPr>
        <w:t xml:space="preserve"> el .mpp no tiene recursos (la capacidad de los CAF se estimó con el número de actividades simultáneas); las tareas 165 y 170 mantienen la restricción «No finalizar antes del 29/01/2027»; la carga de Presupuesto sube de 7 a 9 actividades simultáneas en febrero de 2027 y la de Tesorería de 4 a 5 en mayo de 2027.</w:t>
      </w:r>
    </w:p>
    <w:p>
      <w:pPr>
        <w:pStyle w:val="Heading1"/>
        <w:keepNext/>
        <w:spacing w:after="200" w:before="120"/>
      </w:pPr>
      <w:r>
        <w:rPr>
          <w:rFonts w:ascii="Montserrat SemiBold" w:cs="Montserrat SemiBold" w:eastAsia="Montserrat SemiBold" w:hAnsi="Montserrat SemiBold"/>
          <w:b/>
          <w:bCs/>
          <w:color w:val="E6375D"/>
          <w:sz w:val="34"/>
          <w:szCs w:val="34"/>
        </w:rPr>
        <w:t xml:space="preserve">6  </w:t>
      </w:r>
      <w:r>
        <w:rPr>
          <w:rFonts w:ascii="Montserrat SemiBold" w:cs="Montserrat SemiBold" w:eastAsia="Montserrat SemiBold" w:hAnsi="Montserrat SemiBold"/>
          <w:b/>
          <w:bCs/>
          <w:color w:val="004899"/>
          <w:sz w:val="34"/>
          <w:szCs w:val="34"/>
        </w:rPr>
        <w:t xml:space="preserve">Decisiones necesarias</w:t>
      </w:r>
    </w:p>
    <w:p>
      <w:pPr>
        <w:spacing w:after="140" w:line="288"/>
      </w:pPr>
      <w:r>
        <w:rPr>
          <w:rFonts w:ascii="Montserrat" w:cs="Montserrat" w:eastAsia="Montserrat" w:hAnsi="Montserrat"/>
          <w:b/>
          <w:bCs/>
          <w:color w:val="004899"/>
          <w:sz w:val="20"/>
          <w:szCs w:val="20"/>
        </w:rPr>
        <w:t xml:space="preserve">La reprogramación necesita nueve decisiones; las cinco primeras deben tomarse antes del 15/12/2026.</w:t>
      </w:r>
      <w:r>
        <w:rPr>
          <w:rFonts w:ascii="Montserrat" w:cs="Montserrat" w:eastAsia="Montserrat" w:hAnsi="Montserrat"/>
          <w:color w:val="4B4B4D"/>
          <w:sz w:val="20"/>
          <w:szCs w:val="20"/>
        </w:rPr>
        <w:t xml:space="preserve"> La matriz completa, con alternativas y consecuencias, está en el Entregable 4 (hoja «Decisiones» del Excel).</w:t>
      </w:r>
    </w:p>
    <w:p>
      <w:pPr>
        <w:keepNext/>
        <w:spacing w:after="100" w:before="200"/>
      </w:pPr>
      <w:r>
        <w:rPr>
          <w:rFonts w:ascii="Montserrat" w:cs="Montserrat" w:eastAsia="Montserrat" w:hAnsi="Montserrat"/>
          <w:b/>
          <w:bCs/>
          <w:color w:val="E6375D"/>
          <w:sz w:val="19"/>
          <w:szCs w:val="19"/>
        </w:rPr>
        <w:t xml:space="preserve">Cuadro 7. Decisiones para la Coordinación y la UCP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1900"/>
        <w:gridCol w:w="2400"/>
        <w:gridCol w:w="2266"/>
        <w:gridCol w:w="1400"/>
        <w:gridCol w:w="1100"/>
      </w:tblGrid>
      <w:tr>
        <w:trPr>
          <w:tblHeader/>
        </w:trPr>
        <w:tc>
          <w:tcPr>
            <w:tcW w:type="dxa" w:w="800"/>
            <w:tcBorders>
              <w:top w:val="single" w:color="004899" w:sz="4"/>
              <w:left w:val="single" w:color="004899" w:sz="4"/>
              <w:bottom w:val="single" w:color="004899" w:sz="4"/>
              <w:right w:val="single" w:color="004899" w:sz="4"/>
            </w:tcBorders>
            <w:shd w:fill="00489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1900"/>
            <w:tcBorders>
              <w:top w:val="single" w:color="004899" w:sz="4"/>
              <w:left w:val="single" w:color="004899" w:sz="4"/>
              <w:bottom w:val="single" w:color="004899" w:sz="4"/>
              <w:right w:val="single" w:color="004899" w:sz="4"/>
            </w:tcBorders>
            <w:shd w:fill="00489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Decisión</w:t>
            </w:r>
          </w:p>
        </w:tc>
        <w:tc>
          <w:tcPr>
            <w:tcW w:type="dxa" w:w="2400"/>
            <w:tcBorders>
              <w:top w:val="single" w:color="004899" w:sz="4"/>
              <w:left w:val="single" w:color="004899" w:sz="4"/>
              <w:bottom w:val="single" w:color="004899" w:sz="4"/>
              <w:right w:val="single" w:color="004899" w:sz="4"/>
            </w:tcBorders>
            <w:shd w:fill="00489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Alternativa recomendada</w:t>
            </w:r>
          </w:p>
        </w:tc>
        <w:tc>
          <w:tcPr>
            <w:tcW w:type="dxa" w:w="2266"/>
            <w:tcBorders>
              <w:top w:val="single" w:color="004899" w:sz="4"/>
              <w:left w:val="single" w:color="004899" w:sz="4"/>
              <w:bottom w:val="single" w:color="004899" w:sz="4"/>
              <w:right w:val="single" w:color="004899" w:sz="4"/>
            </w:tcBorders>
            <w:shd w:fill="00489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Si no se decide</w:t>
            </w:r>
          </w:p>
        </w:tc>
        <w:tc>
          <w:tcPr>
            <w:tcW w:type="dxa" w:w="1400"/>
            <w:tcBorders>
              <w:top w:val="single" w:color="004899" w:sz="4"/>
              <w:left w:val="single" w:color="004899" w:sz="4"/>
              <w:bottom w:val="single" w:color="004899" w:sz="4"/>
              <w:right w:val="single" w:color="004899" w:sz="4"/>
            </w:tcBorders>
            <w:shd w:fill="00489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Responsable</w:t>
            </w:r>
          </w:p>
        </w:tc>
        <w:tc>
          <w:tcPr>
            <w:tcW w:type="dxa" w:w="1100"/>
            <w:tcBorders>
              <w:top w:val="single" w:color="004899" w:sz="4"/>
              <w:left w:val="single" w:color="004899" w:sz="4"/>
              <w:bottom w:val="single" w:color="004899" w:sz="4"/>
              <w:right w:val="single" w:color="004899" w:sz="4"/>
            </w:tcBorders>
            <w:shd w:fill="004899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FFFFFF"/>
                <w:sz w:val="16"/>
                <w:szCs w:val="16"/>
              </w:rPr>
              <w:t xml:space="preserve">Fecha límite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DEC-4</w:t>
            </w:r>
          </w:p>
        </w:tc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Salida de StandBy de la PMI y PMIE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A: reactivar ya (+6 d en 149)</w:t>
            </w:r>
          </w:p>
        </w:tc>
        <w:tc>
          <w:tcPr>
            <w:tcW w:type="dxa" w:w="22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Presupuesto y Endeudamiento no tendrán estructura de proyectos para 2027.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Coordinación del Proyecto</w:t>
            </w:r>
          </w:p>
        </w:tc>
        <w:tc>
          <w:tcPr>
            <w:tcW w:type="dxa" w:w="1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30/10/2026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DEC-3</w:t>
            </w:r>
          </w:p>
        </w:tc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Fuente contable de transición 2026–2027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A: SIAF-SP vigente + adecuación N5</w:t>
            </w:r>
          </w:p>
        </w:tc>
        <w:tc>
          <w:tcPr>
            <w:tcW w:type="dxa" w:w="22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Riesgo de rediseñar cierres y estados, y de desplazar la Cuenta General.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CAF Contabilidad → Coordinación</w:t>
            </w:r>
          </w:p>
        </w:tc>
        <w:tc>
          <w:tcPr>
            <w:tcW w:type="dxa" w:w="1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30/11/2026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DEC-5</w:t>
            </w:r>
          </w:p>
        </w:tc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Titularidad de convenios, desembolsos y acreedores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A: Endeudamiento titular; Inversiones consume y vincula al proyecto</w:t>
            </w:r>
          </w:p>
        </w:tc>
        <w:tc>
          <w:tcPr>
            <w:tcW w:type="dxa" w:w="22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Doble registro de convenios y datos inconsistentes entre sistemas.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Tres CAF → Coordinación</w:t>
            </w:r>
          </w:p>
        </w:tc>
        <w:tc>
          <w:tcPr>
            <w:tcW w:type="dxa" w:w="1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30/11/2026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DEC-6</w:t>
            </w:r>
          </w:p>
        </w:tc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Ciclo de aplicación de los clasificadores temáticos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B: aplicarlos desde la Formulación 2028</w:t>
            </w:r>
          </w:p>
        </w:tc>
        <w:tc>
          <w:tcPr>
            <w:tcW w:type="dxa" w:w="22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Presión para comprimir dos MFD sin capacidad verificada.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CAF Presupuesto</w:t>
            </w:r>
          </w:p>
        </w:tc>
        <w:tc>
          <w:tcPr>
            <w:tcW w:type="dxa" w:w="1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30/11/2026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DEC-9</w:t>
            </w:r>
          </w:p>
        </w:tc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Política de programación y construcción (C3)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B: automático solo con vínculos validados + línea base + cronograma C3</w:t>
            </w:r>
          </w:p>
        </w:tc>
        <w:tc>
          <w:tcPr>
            <w:tcW w:type="dxa" w:w="22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El cronograma seguirá sin ruta crítica y sin fechas de puesta en uso.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Coordinación + PMO + OGTI</w:t>
            </w:r>
          </w:p>
        </w:tc>
        <w:tc>
          <w:tcPr>
            <w:tcW w:type="dxa" w:w="1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04/12/2026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DEC-1</w:t>
            </w:r>
          </w:p>
        </w:tc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Cuota de pago para los pagos de 2027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B: cuota v1 mínima en may 2027 + v2 en 2028</w:t>
            </w:r>
          </w:p>
        </w:tc>
        <w:tc>
          <w:tcPr>
            <w:tcW w:type="dxa" w:w="22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Los MFD de pagos se cierran sin la regla de cuota: retrabajo y ciclo de pago no probable en 2027.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CAF Tesorería → Coordinación</w:t>
            </w:r>
          </w:p>
        </w:tc>
        <w:tc>
          <w:tcPr>
            <w:tcW w:type="dxa" w:w="1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15/12/2026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DEC-2</w:t>
            </w:r>
          </w:p>
        </w:tc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División de la ejecución de bienes y servicios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B: dividir 181 con entregas parciales M1 y M2</w:t>
            </w:r>
          </w:p>
        </w:tc>
        <w:tc>
          <w:tcPr>
            <w:tcW w:type="dxa" w:w="22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El gasto corriente se diseña sin su documento fuente; la certificación sigue sin diseño propio.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CAF Presupuesto + CAF Abastecimiento → Coordinación</w:t>
            </w:r>
          </w:p>
        </w:tc>
        <w:tc>
          <w:tcPr>
            <w:tcW w:type="dxa" w:w="1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15/12/2026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DEC-7</w:t>
            </w:r>
          </w:p>
        </w:tc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Alcance de las 33 actividades «No figura en PMO»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B: incorporar las del ciclo del gasto (181–187, 232–237) y evaluar el resto</w:t>
            </w:r>
          </w:p>
        </w:tc>
        <w:tc>
          <w:tcPr>
            <w:tcW w:type="dxa" w:w="22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El ciclo del gasto quedaría sin presupuesto ni prioridad en la fábrica.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UCP</w:t>
            </w:r>
          </w:p>
        </w:tc>
        <w:tc>
          <w:tcPr>
            <w:tcW w:type="dxa" w:w="1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EF1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15/12/2026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b/>
                <w:bCs/>
                <w:color w:val="004899"/>
                <w:sz w:val="16"/>
                <w:szCs w:val="16"/>
              </w:rPr>
              <w:t xml:space="preserve">DEC-8</w:t>
            </w:r>
          </w:p>
        </w:tc>
        <w:tc>
          <w:tcPr>
            <w:tcW w:type="dxa" w:w="1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Modelo de Evaluación transversal</w:t>
            </w:r>
          </w:p>
        </w:tc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B: evaluar vía Presupuesto, Inversiones y Contabilidad + validación N10</w:t>
            </w:r>
          </w:p>
        </w:tc>
        <w:tc>
          <w:tcPr>
            <w:tcW w:type="dxa" w:w="226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Ambigüedad de alcance y posibles módulos redundantes.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Coordinación del Proyecto</w:t>
            </w:r>
          </w:p>
        </w:tc>
        <w:tc>
          <w:tcPr>
            <w:tcW w:type="dxa" w:w="11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Montserrat" w:cs="Montserrat" w:eastAsia="Montserrat" w:hAnsi="Montserrat"/>
                <w:color w:val="4B4B4D"/>
                <w:sz w:val="16"/>
                <w:szCs w:val="16"/>
              </w:rPr>
              <w:t xml:space="preserve">31/01/2027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200" w:before="120"/>
      </w:pPr>
      <w:r>
        <w:rPr>
          <w:rFonts w:ascii="Montserrat SemiBold" w:cs="Montserrat SemiBold" w:eastAsia="Montserrat SemiBold" w:hAnsi="Montserrat SemiBold"/>
          <w:b/>
          <w:bCs/>
          <w:color w:val="E6375D"/>
          <w:sz w:val="34"/>
          <w:szCs w:val="34"/>
        </w:rPr>
        <w:t xml:space="preserve">7  </w:t>
      </w:r>
      <w:r>
        <w:rPr>
          <w:rFonts w:ascii="Montserrat SemiBold" w:cs="Montserrat SemiBold" w:eastAsia="Montserrat SemiBold" w:hAnsi="Montserrat SemiBold"/>
          <w:b/>
          <w:bCs/>
          <w:color w:val="004899"/>
          <w:sz w:val="34"/>
          <w:szCs w:val="34"/>
        </w:rPr>
        <w:t xml:space="preserve">Conclusión sobre la viabilidad</w:t>
      </w:r>
    </w:p>
    <w:p>
      <w:pPr>
        <w:keepNext/>
        <w:spacing w:after="80" w:before="200"/>
      </w:pPr>
      <w:r>
        <w:rPr>
          <w:rFonts w:ascii="Montserrat" w:cs="Montserrat" w:eastAsia="Montserrat" w:hAnsi="Montserrat"/>
          <w:b/>
          <w:bCs/>
          <w:color w:val="004899"/>
          <w:sz w:val="21"/>
          <w:szCs w:val="21"/>
        </w:rPr>
        <w:t xml:space="preserve">La integración funcional de los siete sistemas es viable dentro del plazo actual (28/12/2029), con el Escenario 2 y bajo cuatro condiciones.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Montserrat" w:cs="Montserrat" w:eastAsia="Montserrat" w:hAnsi="Montserrat"/>
          <w:b/>
          <w:bCs/>
          <w:color w:val="004899"/>
          <w:sz w:val="20"/>
          <w:szCs w:val="20"/>
        </w:rPr>
        <w:t xml:space="preserve">Decidir a tiempo:</w:t>
      </w:r>
      <w:r>
        <w:rPr>
          <w:rFonts w:ascii="Montserrat" w:cs="Montserrat" w:eastAsia="Montserrat" w:hAnsi="Montserrat"/>
          <w:color w:val="4B4B4D"/>
          <w:sz w:val="20"/>
          <w:szCs w:val="20"/>
        </w:rPr>
        <w:t xml:space="preserve"> reactivar la PMI (DEC-4, 30/10/2026) y confirmar la fuente contable de transición (DEC-3, 30/11/2026).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Montserrat" w:cs="Montserrat" w:eastAsia="Montserrat" w:hAnsi="Montserrat"/>
          <w:b/>
          <w:bCs/>
          <w:color w:val="004899"/>
          <w:sz w:val="20"/>
          <w:szCs w:val="20"/>
        </w:rPr>
        <w:t xml:space="preserve">Confirmar capacidad:</w:t>
      </w:r>
      <w:r>
        <w:rPr>
          <w:rFonts w:ascii="Montserrat" w:cs="Montserrat" w:eastAsia="Montserrat" w:hAnsi="Montserrat"/>
          <w:color w:val="4B4B4D"/>
          <w:sz w:val="20"/>
          <w:szCs w:val="20"/>
        </w:rPr>
        <w:t xml:space="preserve"> el CAF de Tesorería para la cuota de pago v1 (may 2027) y el CAF de Presupuesto para la certificación y el modelo común de datos (feb–abr 2027).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Montserrat" w:cs="Montserrat" w:eastAsia="Montserrat" w:hAnsi="Montserrat"/>
          <w:b/>
          <w:bCs/>
          <w:color w:val="004899"/>
          <w:sz w:val="20"/>
          <w:szCs w:val="20"/>
        </w:rPr>
        <w:t xml:space="preserve">Formalizar la red en Microsoft Project:</w:t>
      </w:r>
      <w:r>
        <w:rPr>
          <w:rFonts w:ascii="Montserrat" w:cs="Montserrat" w:eastAsia="Montserrat" w:hAnsi="Montserrat"/>
          <w:color w:val="4B4B4D"/>
          <w:sz w:val="20"/>
          <w:szCs w:val="20"/>
        </w:rPr>
        <w:t xml:space="preserve"> cargar los 87 vínculos, las tareas nuevas y los hitos; guardar la línea base 1 antes del 04/12/2026.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Montserrat" w:cs="Montserrat" w:eastAsia="Montserrat" w:hAnsi="Montserrat"/>
          <w:b/>
          <w:bCs/>
          <w:color w:val="004899"/>
          <w:sz w:val="20"/>
          <w:szCs w:val="20"/>
        </w:rPr>
        <w:t xml:space="preserve">Programar la construcción (C3):</w:t>
      </w:r>
      <w:r>
        <w:rPr>
          <w:rFonts w:ascii="Montserrat" w:cs="Montserrat" w:eastAsia="Montserrat" w:hAnsi="Montserrat"/>
          <w:color w:val="4B4B4D"/>
          <w:sz w:val="20"/>
          <w:szCs w:val="20"/>
        </w:rPr>
        <w:t xml:space="preserve"> sin ella, los hitos de software y la puesta en uso no pueden verificarse.</w:t>
      </w:r>
    </w:p>
    <w:p>
      <w:pPr>
        <w:spacing w:after="140" w:line="288"/>
      </w:pPr>
      <w:r>
        <w:rPr>
          <w:rFonts w:ascii="Montserrat" w:cs="Montserrat" w:eastAsia="Montserrat" w:hAnsi="Montserrat"/>
          <w:color w:val="4B4B4D"/>
          <w:sz w:val="20"/>
          <w:szCs w:val="20"/>
        </w:rPr>
        <w:t xml:space="preserve">Si estas condiciones no se cumplen, el proyecto mantiene sus fechas, pero vuelve al riesgo del Escenario 1: dos ciclos críticos (pago y gasto en bienes y servicios) diseñados sin sus insumos.</w:t>
      </w:r>
    </w:p>
    <w:p>
      <w:pPr>
        <w:spacing w:after="140" w:line="288"/>
      </w:pPr>
      <w:r>
        <w:rPr>
          <w:rFonts w:ascii="Montserrat" w:cs="Montserrat" w:eastAsia="Montserrat" w:hAnsi="Montserrat"/>
          <w:b/>
          <w:bCs/>
          <w:color w:val="004899"/>
          <w:sz w:val="20"/>
          <w:szCs w:val="20"/>
        </w:rPr>
        <w:t xml:space="preserve">Entregables que acompañan este resumen:</w:t>
      </w:r>
      <w:r>
        <w:rPr>
          <w:rFonts w:ascii="Montserrat" w:cs="Montserrat" w:eastAsia="Montserrat" w:hAnsi="Montserrat"/>
          <w:color w:val="4B4B4D"/>
          <w:sz w:val="20"/>
          <w:szCs w:val="20"/>
        </w:rPr>
        <w:t xml:space="preserve"> Matriz Maestra de Reprogramación (Excel con 11 hojas y filtros), cronograma propuesto en formato XML de Microsoft Project (el .mpp original no fue modificado) y los gráficos del cronograma integrado.</w:t>
      </w:r>
    </w:p>
    <w:sectPr>
      <w:headerReference w:type="default" r:id="rId7"/>
      <w:footerReference w:type="default" r:id="rId8"/>
      <w:pgSz w:w="11906" w:h="16838" w:orient="portrait"/>
      <w:pgMar w:top="1300" w:right="1020" w:bottom="1100" w:left="102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6"/>
      </w:pBdr>
      <w:jc w:val="right"/>
    </w:pPr>
    <w:r>
      <w:rPr>
        <w:rFonts w:ascii="Montserrat" w:cs="Montserrat" w:eastAsia="Montserrat" w:hAnsi="Montserrat"/>
        <w:color w:val="6B6B6E"/>
        <w:sz w:val="14"/>
        <w:szCs w:val="14"/>
      </w:rPr>
      <w:t xml:space="preserve">Propuesta de Solución y Reprogramación – Cronograma Integrado AFSP  |  </w:t>
    </w:r>
    <w:r>
      <w:rPr>
        <w:rFonts w:ascii="Montserrat" w:cs="Montserrat" w:eastAsia="Montserrat" w:hAnsi="Montserrat"/>
        <w:b/>
        <w:bCs/>
        <w:color w:val="0048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  <w:spacing w:after="120"/>
    </w:pPr>
    <w:r>
      <w:drawing>
        <wp:inline distT="0" distB="0" distL="0" distR="0">
          <wp:extent cx="1504950" cy="295275"/>
          <wp:effectExtent t="0" r="0" b="0" l="0"/>
          <wp:docPr id="1" name="mef" descr="Logotipo del Ministerio de Economía y Finanzas" title="ME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4950" cy="295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drawing>
        <wp:inline distT="0" distB="0" distL="0" distR="0">
          <wp:extent cx="952500" cy="304800"/>
          <wp:effectExtent t="0" r="0" b="0" l="0"/>
          <wp:docPr id="1" name="siaf" descr="Logotipo SIAF-RP" title="SIAF-R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304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  <w:rPr>
        <w:b/>
        <w:bCs/>
        <w:color w:val="E6375D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40" w:hanging="320"/>
      </w:pPr>
      <w:rPr>
        <w:color w:val="004899"/>
        <w:sz w:val="24"/>
        <w:szCs w:val="24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40"/>
      </w:pPr>
      <w:rPr>
        <w:rFonts w:ascii="Montserrat SemiBold" w:cs="Montserrat SemiBold" w:eastAsia="Montserrat SemiBold" w:hAnsi="Montserrat SemiBold"/>
        <w:b/>
        <w:bCs/>
        <w:color w:val="E6375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4B4B4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Montserrat SemiBold" w:cs="Montserrat SemiBold" w:eastAsia="Montserrat SemiBold" w:hAnsi="Montserrat SemiBold"/>
      <w:b/>
      <w:bCs/>
      <w:color w:val="004899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daeed628f999570424a658173e0ba79b81e3041.png"/><Relationship Id="rId10" Type="http://schemas.openxmlformats.org/officeDocument/2006/relationships/image" Target="media/6855295273abcdd39483e6ef232a7b7026278726.png"/><Relationship Id="rId11" Type="http://schemas.openxmlformats.org/officeDocument/2006/relationships/image" Target="media/46133abdf7168de3c03927b267d54243abe7bf15.png"/><Relationship Id="rId12" Type="http://schemas.openxmlformats.org/officeDocument/2006/relationships/image" Target="media/0a41c9b624e5c0b5549c4d4a465b52636a87affb.png"/><Relationship Id="rId13" Type="http://schemas.openxmlformats.org/officeDocument/2006/relationships/image" Target="media/739dfe111e4c0d8aa68c3483727cca4d4819ca0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855295273abcdd39483e6ef232a7b7026278726.png"/><Relationship Id="rId1" Type="http://schemas.openxmlformats.org/officeDocument/2006/relationships/image" Target="media/46133abdf7168de3c03927b267d54243abe7bf1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Solución y Reprogramación – Cronograma Integrado AFSP</dc:title>
  <dc:creator>Proyecto AFSP</dc:creator>
  <cp:lastModifiedBy>Un-named</cp:lastModifiedBy>
  <cp:revision>1</cp:revision>
  <dcterms:created xsi:type="dcterms:W3CDTF">2026-10-22T19:44:19.444Z</dcterms:created>
  <dcterms:modified xsi:type="dcterms:W3CDTF">2026-10-22T19:44:19.444Z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