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Stake Financial Process Description</w:t>
      </w:r>
    </w:p>
    <w:p>
      <w:pPr>
        <w:pStyle w:val="Heading1"/>
      </w:pPr>
      <w:r>
        <w:t>Process: Semi-Annual Financial Audit of Wards and Stake</w:t>
      </w:r>
    </w:p>
    <w:p>
      <w:r>
        <w:rPr>
          <w:b/>
        </w:rPr>
        <w:t xml:space="preserve">Prepared by: </w:t>
      </w:r>
      <w:r>
        <w:t>Stake Clerk</w:t>
      </w:r>
    </w:p>
    <w:p>
      <w:r>
        <w:rPr>
          <w:b/>
        </w:rPr>
        <w:t xml:space="preserve">Last Updated: </w:t>
      </w:r>
      <w:r>
        <w:t>March 2026</w:t>
      </w:r>
    </w:p>
    <w:p>
      <w:pPr>
        <w:pStyle w:val="Heading2"/>
      </w:pPr>
      <w:r>
        <w:t>Overview</w:t>
      </w:r>
    </w:p>
    <w:p>
      <w:r>
        <w:t>This document describes how the stake conducts its semi-annual financial audits of ward and stake financial records in accordance with Church policy.</w:t>
      </w:r>
    </w:p>
    <w:p>
      <w:pPr>
        <w:pStyle w:val="Heading2"/>
      </w:pPr>
      <w:r>
        <w:t>Step 1 — Audit Committee Composition</w:t>
      </w:r>
    </w:p>
    <w:p>
      <w:r>
        <w:t>The stake president has appointed an audit committee chaired by the second counselor in the stake presidency. The committee includes two additional members: one high councilor and the assistant stake clerk assigned to finances. The assistant stake clerk participates because of his detailed knowledge of the financial records and his ability to answer technical questions quickly during the audit.</w:t>
      </w:r>
    </w:p>
    <w:p>
      <w:r>
        <w:t>The counselor who chairs the audit committee also serves as one of the two required approvers for stake expenditure payments, a role he has held for the past two years. He is the most financially experienced member of the stake presidency.</w:t>
      </w:r>
    </w:p>
    <w:p>
      <w:pPr>
        <w:pStyle w:val="Heading2"/>
      </w:pPr>
      <w:r>
        <w:t>Step 2 — Auditor Selection</w:t>
      </w:r>
    </w:p>
    <w:p>
      <w:r>
        <w:t>Stake auditors are called from among stake members with accounting or bookkeeping backgrounds. The stake currently has two active auditors. Both were approved by the stake presidency. They have not been formally approved by the high council, as this step was overlooked during their initial calling. The stake clerk, who is responsible for stake financial record keeping, sometimes joins audit sessions to assist with locating records.</w:t>
      </w:r>
    </w:p>
    <w:p>
      <w:pPr>
        <w:pStyle w:val="Heading2"/>
      </w:pPr>
      <w:r>
        <w:t>Step 3 — Audit Frequency and Scope</w:t>
      </w:r>
    </w:p>
    <w:p>
      <w:r>
        <w:t>Audits are conducted once per year rather than twice. The second annual audit was suspended two years ago due to limited auditor availability and has not been reinstated. Each ward is audited, along with stake finances.</w:t>
      </w:r>
    </w:p>
    <w:p>
      <w:r>
        <w:t>During the audit, auditors verify that: donation records are complete and amounts reconcile to bank deposits; payment records include supporting receipts and dual authorization; and financial system passwords have not been shared.</w:t>
      </w:r>
    </w:p>
    <w:p>
      <w:pPr>
        <w:pStyle w:val="Heading2"/>
      </w:pPr>
      <w:r>
        <w:t>Step 4 — Audit Findings and Resolution</w:t>
      </w:r>
    </w:p>
    <w:p>
      <w:r>
        <w:t>After each audit, the auditor prepares a written report listing any exceptions found. This report is provided to the ward clerk, who discusses exceptions with the bishop. The bishop determines how to resolve each exception and communicates the resolution back to the clerk. The stake audit committee does not independently verify that exceptions have been corrected; they rely on the bishop's written confirmation.</w:t>
      </w:r>
    </w:p>
    <w:p>
      <w:r>
        <w:t>Audit reports are signed by the audit committee chairman and the stake president after exceptions are reviewed. Signing occurs before all exceptions have been fully corrected, as closing the audit promptly is considered more important than waiting for all corrections.</w:t>
      </w:r>
    </w:p>
    <w:p>
      <w:pPr>
        <w:pStyle w:val="Heading2"/>
      </w:pPr>
      <w:r>
        <w:t>Step 5 — Loss, Theft, or Misappropriation</w:t>
      </w:r>
    </w:p>
    <w:p>
      <w:r>
        <w:t>If an auditor discovers a discrepancy suggesting potential misappropriation of funds, the matter is discussed informally with the stake clerk before being escalated to the stake president. This informal pre-escalation step is intended to rule out administrative errors before alarming leadership, but it means the stake president may not be informed of potential misappropriation for several days.</w:t>
      </w:r>
    </w:p>
    <w:p>
      <w:pPr>
        <w:pStyle w:val="Heading2"/>
      </w:pPr>
      <w:r>
        <w:t>Step 6 — Record Retention</w:t>
      </w:r>
    </w:p>
    <w:p>
      <w:r>
        <w:t>Audit reports and supporting documentation are filed by the stake clerk and retained for three years. Records older than three years are discarded at the clerk's discretion without formal authorization from the stake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