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Portable</w:t>
      </w:r>
      <w:r>
        <w:t xml:space="preserve"> </w:t>
      </w:r>
      <w:r>
        <w:t xml:space="preserve">Polarization:</w:t>
      </w:r>
      <w:r>
        <w:t xml:space="preserve"> </w:t>
      </w:r>
      <w:r>
        <w:t xml:space="preserve">Partisan</w:t>
      </w:r>
      <w:r>
        <w:t xml:space="preserve"> </w:t>
      </w:r>
      <w:r>
        <w:t xml:space="preserve">Identity,</w:t>
      </w:r>
      <w:r>
        <w:t xml:space="preserve"> </w:t>
      </w:r>
      <w:r>
        <w:t xml:space="preserve">Expressive</w:t>
      </w:r>
      <w:r>
        <w:t xml:space="preserve"> </w:t>
      </w:r>
      <w:r>
        <w:t xml:space="preserve">Attitudes,</w:t>
      </w:r>
      <w:r>
        <w:t xml:space="preserve"> </w:t>
      </w:r>
      <w:r>
        <w:t xml:space="preserve">and</w:t>
      </w:r>
      <w:r>
        <w:t xml:space="preserve"> </w:t>
      </w:r>
      <w:r>
        <w:t xml:space="preserve">COVID-19</w:t>
      </w:r>
      <w:r>
        <w:t xml:space="preserve"> </w:t>
      </w:r>
      <w:r>
        <w:t xml:space="preserve">Health</w:t>
      </w:r>
      <w:r>
        <w:t xml:space="preserve"> </w:t>
      </w:r>
      <w:r>
        <w:t xml:space="preserve">Behavior</w:t>
      </w:r>
    </w:p>
    <w:p>
      <w:pPr>
        <w:pStyle w:val="FirstParagraph"/>
      </w:pPr>
      <w:r>
        <w:t xml:space="preserve">Christopher Soria</w:t>
      </w:r>
      <w:r>
        <w:rPr>
          <w:vertAlign w:val="superscript"/>
        </w:rPr>
        <w:t xml:space="preserve">1</w:t>
      </w:r>
      <w:r>
        <w:t xml:space="preserve">, Audrey Dorelien</w:t>
      </w:r>
      <w:r>
        <w:rPr>
          <w:vertAlign w:val="superscript"/>
        </w:rPr>
        <w:t xml:space="preserve">2</w:t>
      </w:r>
      <w:r>
        <w:t xml:space="preserve">, Ayesha Mahmud</w:t>
      </w:r>
      <w:r>
        <w:rPr>
          <w:vertAlign w:val="superscript"/>
        </w:rPr>
        <w:t xml:space="preserve">1</w:t>
      </w:r>
      <w:r>
        <w:t xml:space="preserve">, Dennis Feehan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Department of Demography, University of California, Berkeley</w:t>
      </w:r>
      <w:r>
        <w:t xml:space="preserve"> </w:t>
      </w:r>
      <w:r>
        <w:rPr>
          <w:vertAlign w:val="superscript"/>
        </w:rPr>
        <w:t xml:space="preserve">2</w:t>
      </w:r>
      <w:r>
        <w:t xml:space="preserve">Department of Sociology, University of Washington</w:t>
      </w:r>
    </w:p>
    <w:bookmarkStart w:id="35" w:name="abstract"/>
    <w:p>
      <w:pPr>
        <w:pStyle w:val="Heading2"/>
      </w:pPr>
      <w:r>
        <w:t xml:space="preserve">Abstract</w:t>
      </w:r>
    </w:p>
    <w:bookmarkStart w:id="20" w:name="introduction"/>
    <w:p>
      <w:pPr>
        <w:pStyle w:val="Heading3"/>
      </w:pPr>
      <w:r>
        <w:t xml:space="preserve">Introduction</w:t>
      </w:r>
    </w:p>
    <w:p>
      <w:pPr>
        <w:pStyle w:val="FirstParagraph"/>
      </w:pPr>
      <w:r>
        <w:t xml:space="preserve">That COVID-19 health behaviors became politically polarized is well established</w:t>
      </w:r>
      <w:r>
        <w:t xml:space="preserve"> </w:t>
      </w:r>
      <w:r>
        <w:t xml:space="preserve">(Gadarian, Goodman, and Pepinsky 2021; Allcott et al. 2020; Clinton et al. 2021)</w:t>
      </w:r>
      <w:r>
        <w:t xml:space="preserve">.</w:t>
      </w:r>
      <w:r>
        <w:t xml:space="preserve"> </w:t>
      </w:r>
      <w:r>
        <w:t xml:space="preserve">Less clear is whether these differences persist after accounting for factors that covary with partisanship, such as differences in mask-mandate policy, geographic, and/or pandemic severity contexts and perceptions of them.</w:t>
      </w:r>
      <w:r>
        <w:t xml:space="preserve"> </w:t>
      </w:r>
      <w:r>
        <w:t xml:space="preserve">This distinction has direct, quantifiable implications for disease spread: behavioral gaps that are independent of these factors represent a source of heterogeneity that may warrant incorporation into transmission modeling.</w:t>
      </w:r>
      <w:r>
        <w:t xml:space="preserve"> </w:t>
      </w:r>
      <w:r>
        <w:t xml:space="preserve">We use individual-level behavioral data from the Berkeley Interpersonal Contact Study (BICS) to adjudicate between these competing explanations.</w:t>
      </w:r>
    </w:p>
    <w:bookmarkEnd w:id="20"/>
    <w:bookmarkStart w:id="21" w:name="methods"/>
    <w:p>
      <w:pPr>
        <w:pStyle w:val="Heading3"/>
      </w:pPr>
      <w:r>
        <w:t xml:space="preserve">Methods</w:t>
      </w:r>
    </w:p>
    <w:p>
      <w:pPr>
        <w:pStyle w:val="FirstParagraph"/>
      </w:pPr>
      <w:r>
        <w:t xml:space="preserve">BICS is a nationally representative survey conducted across six waves from April 2020 to May 2021 (N = 18,233) that includes detailed counts of daily face-to-face contacts and mask usage during specific interactions.</w:t>
      </w:r>
      <w:r>
        <w:t xml:space="preserve"> </w:t>
      </w:r>
      <w:r>
        <w:t xml:space="preserve">Individual survey responses are linked to county-level COVID-19 incidence and mortality rates, congressional district partisan composition, and county mask mandate status.</w:t>
      </w:r>
      <w:r>
        <w:t xml:space="preserve"> </w:t>
      </w:r>
      <w:r>
        <w:t xml:space="preserve">Survey weights are raked on party identification to match national Gallup targets.</w:t>
      </w:r>
      <w:r>
        <w:t xml:space="preserve"> </w:t>
      </w:r>
      <w:r>
        <w:t xml:space="preserve">We use regression models to examine whether partisan associations persist within shared policy environments, geographic regions, levels of stated concern, and local partisan compositions.</w:t>
      </w:r>
    </w:p>
    <w:bookmarkEnd w:id="21"/>
    <w:bookmarkStart w:id="25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Republicans reported more daily contacts than Democrats across all six waves (adjusted wave-pooled gap: 1.2 contacts/day), had substantially lower vaccine acceptance in Wave 6 (68.4% vs. 87.5%), and wore masks at consistently lower rates.</w:t>
      </w:r>
      <w:r>
        <w:t xml:space="preserve"> </w:t>
      </w:r>
      <w:r>
        <w:t xml:space="preserve">While the contact gap narrowed substantially during the winter 2020–21 mortality surge — falling to 0.3 contacts/day in February 2021 — the partisan gap in mask usage widened monotonically from 4.9 to 10.9 percentage points, showing no compression during mortality peaks.</w:t>
      </w:r>
      <w:r>
        <w:t xml:space="preserve"> </w:t>
      </w:r>
      <w:r>
        <w:t xml:space="preserve">At its widest, the mask gap exceeded cross-group differences by race, gender, or education.</w:t>
      </w:r>
      <w:r>
        <w:t xml:space="preserve"> </w:t>
      </w:r>
      <w:r>
        <w:t xml:space="preserve">Mask usage was also the most context-sensitive behavior: Republicans in Democrat-majority districts wore masks at higher rates than their co-partisans in Republican-majority areas, yet Democrats shifted upward in Democrat-majority contexts as well, leaving the partisan gap intact.</w:t>
      </w:r>
    </w:p>
    <w:p>
      <w:pPr>
        <w:pStyle w:val="CaptionedFigure"/>
      </w:pPr>
      <w:r>
        <w:drawing>
          <wp:inline>
            <wp:extent cx="5334000" cy="6858000"/>
            <wp:effectExtent b="0" l="0" r="0" t="0"/>
            <wp:docPr descr="Absolute unadjusted differences in daily contacts (A), mask usage (B), and vaccine acceptance (C) by group. The partisan gap (red) is shown alongside gaps by age, urbanicity, race/ethnicity, education, and gender. Bars are ordered from largest to smallest gap within each panel. Error bars = ±1 SE." title="" id="23" name="Picture"/>
            <a:graphic>
              <a:graphicData uri="http://schemas.openxmlformats.org/drawingml/2006/picture">
                <pic:pic>
                  <pic:nvPicPr>
                    <pic:cNvPr descr="../../out/plots/contrast_contacts_mask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5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Absolute unadjusted differences in daily contacts (A), mask usage (B), and vaccine acceptance (C) by group. The partisan gap (red) is shown alongside gaps by age, urbanicity, race/ethnicity, education, and gender. Bars are ordered from largest to smallest gap within each panel. Error bars = ±1 SE.</w:t>
      </w:r>
    </w:p>
    <w:bookmarkEnd w:id="25"/>
    <w:bookmarkStart w:id="34" w:name="discussion"/>
    <w:p>
      <w:pPr>
        <w:pStyle w:val="Heading3"/>
      </w:pPr>
      <w:r>
        <w:t xml:space="preserve">Discussion</w:t>
      </w:r>
    </w:p>
    <w:p>
      <w:pPr>
        <w:pStyle w:val="FirstParagraph"/>
      </w:pPr>
      <w:r>
        <w:t xml:space="preserve">These patterns are consistent with theoretical accounts in which partisan identity structures health behavior independent of policy, place, and demography.</w:t>
      </w:r>
      <w:r>
        <w:t xml:space="preserve"> </w:t>
      </w:r>
      <w:r>
        <w:t xml:space="preserve">The temporal trajectories are telling: contact gaps were smallest at peak mortality, while the mask gap widened monotonically regardless of local conditions, consistent with masking functioning as a publicly legible group marker subject to identity costs</w:t>
      </w:r>
      <w:r>
        <w:t xml:space="preserve"> </w:t>
      </w:r>
      <w:r>
        <w:t xml:space="preserve">(Goffman 1963)</w:t>
      </w:r>
      <w:r>
        <w:t xml:space="preserve">.</w:t>
      </w:r>
      <w:r>
        <w:t xml:space="preserve"> </w:t>
      </w:r>
      <w:r>
        <w:t xml:space="preserve">During the winter 2020–21 surge, Republicans reported their lowest concern levels yet reduced contacts substantially, while the mask gap continued to widen, consistent with expressive responding shaping stated concern</w:t>
      </w:r>
      <w:r>
        <w:t xml:space="preserve"> </w:t>
      </w:r>
      <w:r>
        <w:t xml:space="preserve">(Clinton et al. 2021)</w:t>
      </w:r>
      <w:r>
        <w:t xml:space="preserve">.</w:t>
      </w:r>
      <w:r>
        <w:t xml:space="preserve"> </w:t>
      </w:r>
      <w:r>
        <w:t xml:space="preserve">That these gaps rival those by race, gender, and education and persist across policy environments, geographic contexts, and demographic controls points to partisan identity as a robust correlate of COVID-19 health behavior with implications for health inequality and partisan polarization.</w:t>
      </w:r>
    </w:p>
    <w:p>
      <w:pPr>
        <w:pStyle w:val="BodyText"/>
      </w:pPr>
      <w:r>
        <w:rPr>
          <w:b/>
          <w:bCs/>
        </w:rPr>
        <w:t xml:space="preserve">Word count: 555</w:t>
      </w:r>
    </w:p>
    <w:bookmarkStart w:id="33" w:name="refs"/>
    <w:bookmarkStart w:id="27" w:name="ref-allcott_polarization_2020"/>
    <w:p>
      <w:pPr>
        <w:pStyle w:val="Bibliography"/>
      </w:pPr>
      <w:r>
        <w:t xml:space="preserve">Allcott, Hunt, Levi Boxell, Jacob Conway, Matthew Gentzkow, Michael Thaler, and David Yang. 2020.</w:t>
      </w:r>
      <w:r>
        <w:t xml:space="preserve"> </w:t>
      </w:r>
      <w:r>
        <w:t xml:space="preserve">“Polarization and Public Health:</w:t>
      </w:r>
      <w:r>
        <w:t xml:space="preserve"> </w:t>
      </w:r>
      <w:r>
        <w:t xml:space="preserve">Partisan</w:t>
      </w:r>
      <w:r>
        <w:t xml:space="preserve"> </w:t>
      </w:r>
      <w:r>
        <w:t xml:space="preserve">Differences in Social Distancing During the Coronavirus Pandemic.”</w:t>
      </w:r>
      <w:r>
        <w:t xml:space="preserve"> </w:t>
      </w:r>
      <w:r>
        <w:rPr>
          <w:i/>
          <w:iCs/>
        </w:rPr>
        <w:t xml:space="preserve">Journal of Public Economics</w:t>
      </w:r>
      <w:r>
        <w:t xml:space="preserve"> </w:t>
      </w:r>
      <w:r>
        <w:t xml:space="preserve">191 (November): 104254.</w:t>
      </w:r>
      <w:r>
        <w:t xml:space="preserve"> </w:t>
      </w:r>
      <w:hyperlink r:id="rId26">
        <w:r>
          <w:rPr>
            <w:rStyle w:val="Hyperlink"/>
          </w:rPr>
          <w:t xml:space="preserve">https://doi.org/10.1016/j.jpubeco.2020.104254</w:t>
        </w:r>
      </w:hyperlink>
      <w:r>
        <w:t xml:space="preserve">.</w:t>
      </w:r>
    </w:p>
    <w:bookmarkEnd w:id="27"/>
    <w:bookmarkStart w:id="29" w:name="ref-clinton_partisan_2021"/>
    <w:p>
      <w:pPr>
        <w:pStyle w:val="Bibliography"/>
      </w:pPr>
      <w:r>
        <w:t xml:space="preserve">Clinton, J., J. Cohen, J. Lapinski, and M. Trussler. 2021.</w:t>
      </w:r>
      <w:r>
        <w:t xml:space="preserve"> </w:t>
      </w:r>
      <w:r>
        <w:t xml:space="preserve">“Partisan Pandemic:</w:t>
      </w:r>
      <w:r>
        <w:t xml:space="preserve"> </w:t>
      </w:r>
      <w:r>
        <w:t xml:space="preserve">How</w:t>
      </w:r>
      <w:r>
        <w:t xml:space="preserve"> </w:t>
      </w:r>
      <w:r>
        <w:t xml:space="preserve">Partisanship and Public Health Concerns Affect Individuals’ Social Mobility During</w:t>
      </w:r>
      <w:r>
        <w:t xml:space="preserve"> </w:t>
      </w:r>
      <w:r>
        <w:t xml:space="preserve">COVID</w:t>
      </w:r>
      <w:r>
        <w:t xml:space="preserve">-19.”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7 (2): eabd7204.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https://doi.org/10.1126/sciadv.abd7204</w:t>
        </w:r>
      </w:hyperlink>
      <w:r>
        <w:t xml:space="preserve">.</w:t>
      </w:r>
    </w:p>
    <w:bookmarkEnd w:id="29"/>
    <w:bookmarkStart w:id="31" w:name="ref-gadarian_partisanship_2021"/>
    <w:p>
      <w:pPr>
        <w:pStyle w:val="Bibliography"/>
      </w:pPr>
      <w:r>
        <w:t xml:space="preserve">Gadarian, Shana Kushner, Sara Wallace Goodman, and Thomas B. Pepinsky. 2021.</w:t>
      </w:r>
      <w:r>
        <w:t xml:space="preserve"> </w:t>
      </w:r>
      <w:r>
        <w:t xml:space="preserve">“Partisanship, Health Behavior, and Policy Attitudes in the Early Stages of the</w:t>
      </w:r>
      <w:r>
        <w:t xml:space="preserve"> </w:t>
      </w:r>
      <w:r>
        <w:t xml:space="preserve">COVID</w:t>
      </w:r>
      <w:r>
        <w:t xml:space="preserve">-19 Pandemic.”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16 (4): e0249596.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https://doi.org/10.1371/journal.pone.0249596</w:t>
        </w:r>
      </w:hyperlink>
      <w:r>
        <w:t xml:space="preserve">.</w:t>
      </w:r>
    </w:p>
    <w:bookmarkEnd w:id="31"/>
    <w:bookmarkStart w:id="32" w:name="ref-goffman_stigma_1963"/>
    <w:p>
      <w:pPr>
        <w:pStyle w:val="Bibliography"/>
      </w:pPr>
      <w:r>
        <w:t xml:space="preserve">Goffman, Erving. 1963.</w:t>
      </w:r>
      <w:r>
        <w:t xml:space="preserve"> </w:t>
      </w:r>
      <w:r>
        <w:rPr>
          <w:i/>
          <w:iCs/>
        </w:rPr>
        <w:t xml:space="preserve">Stigma:</w:t>
      </w:r>
      <w:r>
        <w:rPr>
          <w:i/>
          <w:iCs/>
        </w:rPr>
        <w:t xml:space="preserve"> </w:t>
      </w:r>
      <w:r>
        <w:rPr>
          <w:i/>
          <w:iCs/>
        </w:rPr>
        <w:t xml:space="preserve">Notes</w:t>
      </w:r>
      <w:r>
        <w:rPr>
          <w:i/>
          <w:iCs/>
        </w:rPr>
        <w:t xml:space="preserve"> </w:t>
      </w:r>
      <w:r>
        <w:rPr>
          <w:i/>
          <w:iCs/>
        </w:rPr>
        <w:t xml:space="preserve">on the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Spoiled</w:t>
      </w:r>
      <w:r>
        <w:rPr>
          <w:i/>
          <w:iCs/>
        </w:rPr>
        <w:t xml:space="preserve"> </w:t>
      </w:r>
      <w:r>
        <w:rPr>
          <w:i/>
          <w:iCs/>
        </w:rPr>
        <w:t xml:space="preserve">Identity</w:t>
      </w:r>
      <w:r>
        <w:t xml:space="preserve">. Englewood Cliffs, NJ: Prentice-Hall.</w:t>
      </w:r>
    </w:p>
    <w:bookmarkEnd w:id="32"/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6" Target="https://doi.org/10.1016/j.jpubeco.2020.104254" TargetMode="External" /><Relationship Type="http://schemas.openxmlformats.org/officeDocument/2006/relationships/hyperlink" Id="rId28" Target="https://doi.org/10.1126/sciadv.abd7204" TargetMode="External" /><Relationship Type="http://schemas.openxmlformats.org/officeDocument/2006/relationships/hyperlink" Id="rId30" Target="https://doi.org/10.1371/journal.pone.02495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16/j.jpubeco.2020.104254" TargetMode="External" /><Relationship Type="http://schemas.openxmlformats.org/officeDocument/2006/relationships/hyperlink" Id="rId28" Target="https://doi.org/10.1126/sciadv.abd7204" TargetMode="External" /><Relationship Type="http://schemas.openxmlformats.org/officeDocument/2006/relationships/hyperlink" Id="rId30" Target="https://doi.org/10.1371/journal.pone.02495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Portable Polarization: Partisan Identity, Expressive Attitudes, and COVID-19 Health Behavior</dc:title>
  <dc:creator/>
  <cp:keywords/>
  <dcterms:created xsi:type="dcterms:W3CDTF">2026-04-29T19:35:10Z</dcterms:created>
  <dcterms:modified xsi:type="dcterms:W3CDTF">2026-04-29T19:35:10Z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dit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