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Portable</w:t>
      </w:r>
      <w:r>
        <w:t xml:space="preserve"> </w:t>
      </w:r>
      <w:r>
        <w:t xml:space="preserve">Polarization:</w:t>
      </w:r>
      <w:r>
        <w:t xml:space="preserve"> </w:t>
      </w:r>
      <w:r>
        <w:t xml:space="preserve">Partisan</w:t>
      </w:r>
      <w:r>
        <w:t xml:space="preserve"> </w:t>
      </w:r>
      <w:r>
        <w:t xml:space="preserve">Identity,</w:t>
      </w:r>
      <w:r>
        <w:t xml:space="preserve"> </w:t>
      </w:r>
      <w:r>
        <w:t xml:space="preserve">Expressive</w:t>
      </w:r>
      <w:r>
        <w:t xml:space="preserve"> </w:t>
      </w:r>
      <w:r>
        <w:t xml:space="preserve">Attitudes,</w:t>
      </w:r>
      <w:r>
        <w:t xml:space="preserve"> </w:t>
      </w:r>
      <w:r>
        <w:t xml:space="preserve">and</w:t>
      </w:r>
      <w:r>
        <w:t xml:space="preserve"> </w:t>
      </w:r>
      <w:r>
        <w:t xml:space="preserve">COVID-19</w:t>
      </w:r>
      <w:r>
        <w:t xml:space="preserve"> </w:t>
      </w:r>
      <w:r>
        <w:t xml:space="preserve">Health</w:t>
      </w:r>
      <w:r>
        <w:t xml:space="preserve"> </w:t>
      </w:r>
      <w:r>
        <w:t xml:space="preserve">Behavior</w:t>
      </w:r>
    </w:p>
    <w:p>
      <w:pPr>
        <w:pStyle w:val="FirstParagraph"/>
      </w:pPr>
      <w:r>
        <w:t xml:space="preserve">Christopher Soria</w:t>
      </w:r>
      <w:r>
        <w:rPr>
          <w:vertAlign w:val="superscript"/>
        </w:rPr>
        <w:t xml:space="preserve">1</w:t>
      </w:r>
      <w:r>
        <w:t xml:space="preserve">, Audrey M. Dorélien</w:t>
      </w:r>
      <w:r>
        <w:rPr>
          <w:vertAlign w:val="superscript"/>
        </w:rPr>
        <w:t xml:space="preserve">2</w:t>
      </w:r>
      <w:r>
        <w:t xml:space="preserve">, Ayesha Mahmud</w:t>
      </w:r>
      <w:r>
        <w:rPr>
          <w:vertAlign w:val="superscript"/>
        </w:rPr>
        <w:t xml:space="preserve">1</w:t>
      </w:r>
      <w:r>
        <w:t xml:space="preserve">, Dennis Feehan</w:t>
      </w:r>
      <w:r>
        <w:rPr>
          <w:vertAlign w:val="superscript"/>
        </w:rPr>
        <w:t xml:space="preserve">1</w:t>
      </w:r>
    </w:p>
    <w:p>
      <w:pPr>
        <w:pStyle w:val="BodyText"/>
      </w:pPr>
      <w:r>
        <w:rPr>
          <w:vertAlign w:val="superscript"/>
        </w:rPr>
        <w:t xml:space="preserve">1</w:t>
      </w:r>
      <w:r>
        <w:t xml:space="preserve">Department of Demography, University of California, Berkeley</w:t>
      </w:r>
      <w:r>
        <w:t xml:space="preserve"> </w:t>
      </w:r>
      <w:r>
        <w:rPr>
          <w:vertAlign w:val="superscript"/>
        </w:rPr>
        <w:t xml:space="preserve">2</w:t>
      </w:r>
      <w:r>
        <w:t xml:space="preserve">Department of Sociology, University of Washington</w:t>
      </w:r>
    </w:p>
    <w:p>
      <w:pPr>
        <w:pStyle w:val="BodyText"/>
      </w:pPr>
      <w:r>
        <w:rPr>
          <w:b/>
          <w:bCs/>
        </w:rPr>
        <w:t xml:space="preserve">Keywords:</w:t>
      </w:r>
      <w:r>
        <w:t xml:space="preserve"> </w:t>
      </w:r>
      <w:r>
        <w:t xml:space="preserve">Political polarization; Partisan identity; COVID-19; Health behavior; Social contact patterns</w:t>
      </w:r>
    </w:p>
    <w:p>
      <w:pPr>
        <w:pStyle w:val="BodyText"/>
      </w:pPr>
      <w:r>
        <w:rPr>
          <w:b/>
          <w:bCs/>
        </w:rPr>
        <w:t xml:space="preserve">Status and ethics:</w:t>
      </w:r>
      <w:r>
        <w:t xml:space="preserve"> </w:t>
      </w:r>
      <w:r>
        <w:t xml:space="preserve">This manuscript reports original research and is being prepared for submission; it has not been published or submitted elsewhere. The study uses survey data originally collected by the authors during the COVID-19 pandemic; as a secondary analysis of de-identified data, this work does not require additional Institutional Review Board review.</w:t>
      </w:r>
    </w:p>
    <w:bookmarkStart w:id="36" w:name="abstract"/>
    <w:p>
      <w:pPr>
        <w:pStyle w:val="Heading2"/>
      </w:pPr>
      <w:r>
        <w:t xml:space="preserve">Abstract</w:t>
      </w:r>
    </w:p>
    <w:p>
      <w:pPr>
        <w:pStyle w:val="FirstParagraph"/>
      </w:pPr>
      <w:r>
        <w:t xml:space="preserve">Health behaviors during the COVID-19 pandemic differed by political party affiliation</w:t>
      </w:r>
      <w:r>
        <w:t xml:space="preserve"> </w:t>
      </w:r>
      <w:r>
        <w:t xml:space="preserve">(Gadarian, Goodman, and Pepinsky 2021; Allcott et al. 2020; Clinton et al. 2021)</w:t>
      </w:r>
      <w:r>
        <w:t xml:space="preserve">.</w:t>
      </w:r>
      <w:r>
        <w:t xml:space="preserve"> </w:t>
      </w:r>
      <w:r>
        <w:t xml:space="preserve">Building on prior work showing these partisan gaps can alter modeled epidemic dynamics</w:t>
      </w:r>
      <w:r>
        <w:t xml:space="preserve"> </w:t>
      </w:r>
      <w:r>
        <w:t xml:space="preserve">(Soria et al. 2026)</w:t>
      </w:r>
      <w:r>
        <w:t xml:space="preserve">, we examine how the polarization persists across contexts and over time, and whether mask and contact gaps follow different patterns.</w:t>
      </w:r>
      <w:r>
        <w:t xml:space="preserve"> </w:t>
      </w:r>
      <w:r>
        <w:t xml:space="preserve">Using six cross-sectional waves of the Berkeley Interpersonal Contact Study (BICS), we test whether they reduce to mask-mandate policy, demographic composition, geographic context, or perceived severity — distinctions that matter for transmission modeling and for understanding when health issues lock into partisan polarization more broadly.</w:t>
      </w:r>
    </w:p>
    <w:p>
      <w:pPr>
        <w:pStyle w:val="BodyText"/>
      </w:pPr>
      <w:r>
        <w:t xml:space="preserve">BICS — one of the few US nationally representative datasets combining detailed face-to-face contact diaries with individual partisan identity — spans April 2020 to May 2021 (N = 18,233), recording daily face-to-face contacts and mask usage.</w:t>
      </w:r>
      <w:r>
        <w:t xml:space="preserve"> </w:t>
      </w:r>
      <w:r>
        <w:t xml:space="preserve">We linked individual survey responses to county-level COVID-19 incidence and mortality rates, congressional district partisan composition, and county mask mandate status.</w:t>
      </w:r>
      <w:r>
        <w:t xml:space="preserve"> </w:t>
      </w:r>
      <w:r>
        <w:t xml:space="preserve">We used progressively nested regression models with subgroup analyses.</w:t>
      </w:r>
    </w:p>
    <w:p>
      <w:pPr>
        <w:pStyle w:val="BodyText"/>
      </w:pPr>
      <w:r>
        <w:t xml:space="preserve">Across all six waves, Republicans reported substantially more daily contacts and lower rates of mask usage and vaccine acceptance than Democrats.</w:t>
      </w:r>
    </w:p>
    <w:p>
      <w:pPr>
        <w:pStyle w:val="BodyText"/>
      </w:pPr>
      <w:r>
        <w:t xml:space="preserve">These gaps did not move in tandem with pandemic severity. The mask gap widened across the study period (from 4.9 to 10.9 percentage points, with a brief narrowing in September 2020), and Republicans reported their lowest concern about COVID at the winter 2020–21 mortality peak. The contact gap, in contrast, narrowed substantially during that same surge, shrinking to 0.3 contacts/day in February 2021.</w:t>
      </w:r>
    </w:p>
    <w:p>
      <w:pPr>
        <w:pStyle w:val="BodyText"/>
      </w:pPr>
      <w:r>
        <w:t xml:space="preserve">The mask gap was largely insensitive to political and policy context. Republicans in Democrat-majority districts wore masks at higher rates than co-partisans in Republican-majority areas, but Democrats shifted upward in those contexts as well, and the partisan gap persisted within every mask-mandate regime, leaving polarization intact across both political and policy environments.</w:t>
      </w:r>
    </w:p>
    <w:p>
      <w:pPr>
        <w:pStyle w:val="BodyText"/>
      </w:pPr>
      <w:r>
        <w:t xml:space="preserve">The partisan contact gap diminished sharply in some subgroups (approaching zero among non-metropolitan and non-White respondents), while a partisan mask gap was present in every subgroup we examined. Despite this heterogeneity, partisan identity remained a statistically significant predictor in fully adjusted models: relative to Democrats, Republicans reported 1.17 more contacts per day (SE = 0.26, p &lt; .001) and 8.18 percentage points lower mask usage (SE = 1.04, p &lt; .001).</w:t>
      </w:r>
    </w:p>
    <w:tbl>
      <w:tblPr>
        <w:tblStyle w:val="Table"/>
        <w:tblW w:type="pct" w:w="5000"/>
        <w:tblLayout w:type="fixed"/>
        <w:tblLook w:firstRow="0" w:lastRow="0" w:firstColumn="0" w:lastColumn="0" w:noHBand="0" w:noVBand="0" w:val="0000"/>
      </w:tblPr>
      <w:tblGrid>
        <w:gridCol w:w="7920"/>
      </w:tblGrid>
      <w:tr>
        <w:tc>
          <w:tcPr/>
          <w:bookmarkStart w:id="23" w:name="fig-partisan-gaps"/>
          <w:p>
            <w:pPr>
              <w:pStyle w:val="Compact"/>
              <w:jc w:val="center"/>
            </w:pPr>
            <w:r>
              <w:drawing>
                <wp:inline>
                  <wp:extent cx="5334000" cy="2667000"/>
                  <wp:effectExtent b="0" l="0" r="0" t="0"/>
                  <wp:docPr descr="" title="" id="21" name="Picture"/>
                  <a:graphic>
                    <a:graphicData uri="http://schemas.openxmlformats.org/drawingml/2006/picture">
                      <pic:pic>
                        <pic:nvPicPr>
                          <pic:cNvPr descr="abstract_files/figure-docx/fig-partisan-gaps-1.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Partisan Gaps in Health Behaviors Across Survey Waves. Lines show the Republican–Democrat difference in daily contacts (Panel A) and the Democrat–Republican difference in mask usage (Panel B). Gray bars show local mortality rates (deaths per 100,000) during each wave.</w:t>
            </w:r>
          </w:p>
          <w:bookmarkEnd w:id="23"/>
        </w:tc>
      </w:tr>
    </w:tbl>
    <w:p>
      <w:pPr>
        <w:pStyle w:val="BodyText"/>
      </w:pPr>
      <w:r>
        <w:t xml:space="preserve">These patterns extend prior work showing that partisan identity structures publicly observable health behaviors more strongly than less-visible ones</w:t>
      </w:r>
      <w:r>
        <w:t xml:space="preserve"> </w:t>
      </w:r>
      <w:r>
        <w:t xml:space="preserve">(Baxter-King et al. 2022)</w:t>
      </w:r>
      <w:r>
        <w:t xml:space="preserve">.</w:t>
      </w:r>
      <w:r>
        <w:t xml:space="preserve"> </w:t>
      </w:r>
      <w:r>
        <w:t xml:space="preserve">Contact gaps were smallest at peak mortality, while the mask gap widened despite fluctuations in conditions, consistent with masking as a publicly legible group marker subject to identity costs</w:t>
      </w:r>
      <w:r>
        <w:t xml:space="preserve"> </w:t>
      </w:r>
      <w:r>
        <w:t xml:space="preserve">(Goffman 1963)</w:t>
      </w:r>
      <w:r>
        <w:t xml:space="preserve">.</w:t>
      </w:r>
      <w:r>
        <w:t xml:space="preserve"> </w:t>
      </w:r>
      <w:r>
        <w:t xml:space="preserve">Republicans’ lowest concern coincided with peak mortality, consistent with expressive responding shaping stated concern</w:t>
      </w:r>
      <w:r>
        <w:t xml:space="preserve"> </w:t>
      </w:r>
      <w:r>
        <w:t xml:space="preserve">(Clinton et al. 2021)</w:t>
      </w:r>
      <w:r>
        <w:t xml:space="preserve">.</w:t>
      </w:r>
      <w:r>
        <w:t xml:space="preserve"> </w:t>
      </w:r>
      <w:r>
        <w:t xml:space="preserve">These gaps rival those by race, gender, and education and persist — particularly for masks — across policy and contextual controls, pointing to partisan identity as a robust correlate of expressive, more than instrumental, COVID-19 health behaviors, with implications for health inequality, partisan polarization, and the broader question of which health behaviors become locked into political identity in polarized contexts.</w:t>
      </w:r>
    </w:p>
    <w:p>
      <w:pPr>
        <w:pStyle w:val="BodyText"/>
      </w:pPr>
      <w:r>
        <w:rPr>
          <w:b/>
          <w:bCs/>
        </w:rPr>
        <w:t xml:space="preserve">Word count (excl. figure caption): 618</w:t>
      </w:r>
    </w:p>
    <w:bookmarkStart w:id="35" w:name="refs"/>
    <w:bookmarkStart w:id="25" w:name="ref-allcott_polarization_2020"/>
    <w:p>
      <w:pPr>
        <w:pStyle w:val="Bibliography"/>
      </w:pPr>
      <w:r>
        <w:t xml:space="preserve">Allcott, Hunt, Levi Boxell, Jacob Conway, Matthew Gentzkow, Michael Thaler, and David Yang. 2020.</w:t>
      </w:r>
      <w:r>
        <w:t xml:space="preserve"> </w:t>
      </w:r>
      <w:r>
        <w:t xml:space="preserve">“Polarization and Public Health:</w:t>
      </w:r>
      <w:r>
        <w:t xml:space="preserve"> </w:t>
      </w:r>
      <w:r>
        <w:t xml:space="preserve">Partisan</w:t>
      </w:r>
      <w:r>
        <w:t xml:space="preserve"> </w:t>
      </w:r>
      <w:r>
        <w:t xml:space="preserve">Differences in Social Distancing During the Coronavirus Pandemic.”</w:t>
      </w:r>
      <w:r>
        <w:t xml:space="preserve"> </w:t>
      </w:r>
      <w:r>
        <w:rPr>
          <w:i/>
          <w:iCs/>
        </w:rPr>
        <w:t xml:space="preserve">Journal of Public Economics</w:t>
      </w:r>
      <w:r>
        <w:t xml:space="preserve"> </w:t>
      </w:r>
      <w:r>
        <w:t xml:space="preserve">191 (November): 104254.</w:t>
      </w:r>
      <w:r>
        <w:t xml:space="preserve"> </w:t>
      </w:r>
      <w:hyperlink r:id="rId24">
        <w:r>
          <w:rPr>
            <w:rStyle w:val="Hyperlink"/>
          </w:rPr>
          <w:t xml:space="preserve">https://doi.org/10.1016/j.jpubeco.2020.104254</w:t>
        </w:r>
      </w:hyperlink>
      <w:r>
        <w:t xml:space="preserve">.</w:t>
      </w:r>
    </w:p>
    <w:bookmarkEnd w:id="25"/>
    <w:bookmarkStart w:id="27" w:name="ref-baxter-king_how_2022"/>
    <w:p>
      <w:pPr>
        <w:pStyle w:val="Bibliography"/>
      </w:pPr>
      <w:r>
        <w:t xml:space="preserve">Baxter-King, Ryan, Jacob R. Brown, Ryan D. Enos, Arash Naeim, and Lynn Vavreck. 2022.</w:t>
      </w:r>
      <w:r>
        <w:t xml:space="preserve"> </w:t>
      </w:r>
      <w:r>
        <w:t xml:space="preserve">“How Local Partisan Context Conditions Prosocial Behaviors:</w:t>
      </w:r>
      <w:r>
        <w:t xml:space="preserve"> </w:t>
      </w:r>
      <w:r>
        <w:t xml:space="preserve">Mask</w:t>
      </w:r>
      <w:r>
        <w:t xml:space="preserve"> </w:t>
      </w:r>
      <w:r>
        <w:t xml:space="preserve">Wearing During</w:t>
      </w:r>
      <w:r>
        <w:t xml:space="preserve"> </w:t>
      </w:r>
      <w:r>
        <w:t xml:space="preserve">COVID</w:t>
      </w:r>
      <w:r>
        <w:t xml:space="preserve">-19.”</w:t>
      </w:r>
      <w:r>
        <w:t xml:space="preserve"> </w:t>
      </w:r>
      <w:r>
        <w:rPr>
          <w:i/>
          <w:iCs/>
        </w:rPr>
        <w:t xml:space="preserve">Proceedings of the National Academy of Sciences</w:t>
      </w:r>
      <w:r>
        <w:t xml:space="preserve"> </w:t>
      </w:r>
      <w:r>
        <w:t xml:space="preserve">119 (21): e2116311119.</w:t>
      </w:r>
      <w:r>
        <w:t xml:space="preserve"> </w:t>
      </w:r>
      <w:hyperlink r:id="rId26">
        <w:r>
          <w:rPr>
            <w:rStyle w:val="Hyperlink"/>
          </w:rPr>
          <w:t xml:space="preserve">https://doi.org/10.1073/pnas.2116311119</w:t>
        </w:r>
      </w:hyperlink>
      <w:r>
        <w:t xml:space="preserve">.</w:t>
      </w:r>
    </w:p>
    <w:bookmarkEnd w:id="27"/>
    <w:bookmarkStart w:id="29" w:name="ref-clinton_partisan_2021"/>
    <w:p>
      <w:pPr>
        <w:pStyle w:val="Bibliography"/>
      </w:pPr>
      <w:r>
        <w:t xml:space="preserve">Clinton, J., J. Cohen, J. Lapinski, and M. Trussler. 2021.</w:t>
      </w:r>
      <w:r>
        <w:t xml:space="preserve"> </w:t>
      </w:r>
      <w:r>
        <w:t xml:space="preserve">“Partisan Pandemic:</w:t>
      </w:r>
      <w:r>
        <w:t xml:space="preserve"> </w:t>
      </w:r>
      <w:r>
        <w:t xml:space="preserve">How</w:t>
      </w:r>
      <w:r>
        <w:t xml:space="preserve"> </w:t>
      </w:r>
      <w:r>
        <w:t xml:space="preserve">Partisanship and Public Health Concerns Affect Individuals’ Social Mobility During</w:t>
      </w:r>
      <w:r>
        <w:t xml:space="preserve"> </w:t>
      </w:r>
      <w:r>
        <w:t xml:space="preserve">COVID</w:t>
      </w:r>
      <w:r>
        <w:t xml:space="preserve">-19.”</w:t>
      </w:r>
      <w:r>
        <w:t xml:space="preserve"> </w:t>
      </w:r>
      <w:r>
        <w:rPr>
          <w:i/>
          <w:iCs/>
        </w:rPr>
        <w:t xml:space="preserve">Science Advances</w:t>
      </w:r>
      <w:r>
        <w:t xml:space="preserve"> </w:t>
      </w:r>
      <w:r>
        <w:t xml:space="preserve">7 (2): eabd7204.</w:t>
      </w:r>
      <w:r>
        <w:t xml:space="preserve"> </w:t>
      </w:r>
      <w:hyperlink r:id="rId28">
        <w:r>
          <w:rPr>
            <w:rStyle w:val="Hyperlink"/>
          </w:rPr>
          <w:t xml:space="preserve">https://doi.org/10.1126/sciadv.abd7204</w:t>
        </w:r>
      </w:hyperlink>
      <w:r>
        <w:t xml:space="preserve">.</w:t>
      </w:r>
    </w:p>
    <w:bookmarkEnd w:id="29"/>
    <w:bookmarkStart w:id="31" w:name="ref-gadarian_partisanship_2021"/>
    <w:p>
      <w:pPr>
        <w:pStyle w:val="Bibliography"/>
      </w:pPr>
      <w:r>
        <w:t xml:space="preserve">Gadarian, Shana Kushner, Sara Wallace Goodman, and Thomas B. Pepinsky. 2021.</w:t>
      </w:r>
      <w:r>
        <w:t xml:space="preserve"> </w:t>
      </w:r>
      <w:r>
        <w:t xml:space="preserve">“Partisanship, Health Behavior, and Policy Attitudes in the Early Stages of the</w:t>
      </w:r>
      <w:r>
        <w:t xml:space="preserve"> </w:t>
      </w:r>
      <w:r>
        <w:t xml:space="preserve">COVID</w:t>
      </w:r>
      <w:r>
        <w:t xml:space="preserve">-19 Pandemic.”</w:t>
      </w:r>
      <w:r>
        <w:t xml:space="preserve"> </w:t>
      </w:r>
      <w:r>
        <w:rPr>
          <w:i/>
          <w:iCs/>
        </w:rPr>
        <w:t xml:space="preserve">PLOS ONE</w:t>
      </w:r>
      <w:r>
        <w:t xml:space="preserve"> </w:t>
      </w:r>
      <w:r>
        <w:t xml:space="preserve">16 (4): e0249596.</w:t>
      </w:r>
      <w:r>
        <w:t xml:space="preserve"> </w:t>
      </w:r>
      <w:hyperlink r:id="rId30">
        <w:r>
          <w:rPr>
            <w:rStyle w:val="Hyperlink"/>
          </w:rPr>
          <w:t xml:space="preserve">https://doi.org/10.1371/journal.pone.0249596</w:t>
        </w:r>
      </w:hyperlink>
      <w:r>
        <w:t xml:space="preserve">.</w:t>
      </w:r>
    </w:p>
    <w:bookmarkEnd w:id="31"/>
    <w:bookmarkStart w:id="32" w:name="ref-goffman_stigma_1963"/>
    <w:p>
      <w:pPr>
        <w:pStyle w:val="Bibliography"/>
      </w:pPr>
      <w:r>
        <w:t xml:space="preserve">Goffman, Erving. 1963.</w:t>
      </w:r>
      <w:r>
        <w:t xml:space="preserve"> </w:t>
      </w:r>
      <w:r>
        <w:rPr>
          <w:i/>
          <w:iCs/>
        </w:rPr>
        <w:t xml:space="preserve">Stigma:</w:t>
      </w:r>
      <w:r>
        <w:rPr>
          <w:i/>
          <w:iCs/>
        </w:rPr>
        <w:t xml:space="preserve"> </w:t>
      </w:r>
      <w:r>
        <w:rPr>
          <w:i/>
          <w:iCs/>
        </w:rPr>
        <w:t xml:space="preserve">Notes</w:t>
      </w:r>
      <w:r>
        <w:rPr>
          <w:i/>
          <w:iCs/>
        </w:rPr>
        <w:t xml:space="preserve"> </w:t>
      </w:r>
      <w:r>
        <w:rPr>
          <w:i/>
          <w:iCs/>
        </w:rPr>
        <w:t xml:space="preserve">on the</w:t>
      </w:r>
      <w:r>
        <w:rPr>
          <w:i/>
          <w:iCs/>
        </w:rPr>
        <w:t xml:space="preserve"> </w:t>
      </w:r>
      <w:r>
        <w:rPr>
          <w:i/>
          <w:iCs/>
        </w:rPr>
        <w:t xml:space="preserve">Management</w:t>
      </w:r>
      <w:r>
        <w:rPr>
          <w:i/>
          <w:iCs/>
        </w:rPr>
        <w:t xml:space="preserve"> </w:t>
      </w:r>
      <w:r>
        <w:rPr>
          <w:i/>
          <w:iCs/>
        </w:rPr>
        <w:t xml:space="preserve">of</w:t>
      </w:r>
      <w:r>
        <w:rPr>
          <w:i/>
          <w:iCs/>
        </w:rPr>
        <w:t xml:space="preserve"> </w:t>
      </w:r>
      <w:r>
        <w:rPr>
          <w:i/>
          <w:iCs/>
        </w:rPr>
        <w:t xml:space="preserve">Spoiled</w:t>
      </w:r>
      <w:r>
        <w:rPr>
          <w:i/>
          <w:iCs/>
        </w:rPr>
        <w:t xml:space="preserve"> </w:t>
      </w:r>
      <w:r>
        <w:rPr>
          <w:i/>
          <w:iCs/>
        </w:rPr>
        <w:t xml:space="preserve">Identity</w:t>
      </w:r>
      <w:r>
        <w:t xml:space="preserve">. Englewood Cliffs, NJ: Prentice-Hall.</w:t>
      </w:r>
    </w:p>
    <w:bookmarkEnd w:id="32"/>
    <w:bookmarkStart w:id="34" w:name="ref-soria_2026"/>
    <w:p>
      <w:pPr>
        <w:pStyle w:val="Bibliography"/>
      </w:pPr>
      <w:r>
        <w:t xml:space="preserve">Soria, Chris, Audrey M. Dorélien, Dennis M. Feehan, and Ayesha S. Mahmud. 2026.</w:t>
      </w:r>
      <w:r>
        <w:t xml:space="preserve"> </w:t>
      </w:r>
      <w:r>
        <w:t xml:space="preserve">“Partisan Differences in Health Behaviors Can Impact Respiratory Disease Dynamics.”</w:t>
      </w:r>
      <w:r>
        <w:t xml:space="preserve"> </w:t>
      </w:r>
      <w:r>
        <w:rPr>
          <w:i/>
          <w:iCs/>
        </w:rPr>
        <w:t xml:space="preserve">medRxiv</w:t>
      </w:r>
      <w:r>
        <w:t xml:space="preserve">.</w:t>
      </w:r>
      <w:r>
        <w:t xml:space="preserve"> </w:t>
      </w:r>
      <w:hyperlink r:id="rId33">
        <w:r>
          <w:rPr>
            <w:rStyle w:val="Hyperlink"/>
          </w:rPr>
          <w:t xml:space="preserve">https://doi.org/10.64898/2026.01.14.26344076</w:t>
        </w:r>
      </w:hyperlink>
      <w:r>
        <w:t xml:space="preserve">.</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4" Target="https://doi.org/10.1016/j.jpubeco.2020.104254" TargetMode="External" /><Relationship Type="http://schemas.openxmlformats.org/officeDocument/2006/relationships/hyperlink" Id="rId26" Target="https://doi.org/10.1073/pnas.2116311119" TargetMode="External" /><Relationship Type="http://schemas.openxmlformats.org/officeDocument/2006/relationships/hyperlink" Id="rId28" Target="https://doi.org/10.1126/sciadv.abd7204" TargetMode="External" /><Relationship Type="http://schemas.openxmlformats.org/officeDocument/2006/relationships/hyperlink" Id="rId30" Target="https://doi.org/10.1371/journal.pone.0249596" TargetMode="External" /><Relationship Type="http://schemas.openxmlformats.org/officeDocument/2006/relationships/hyperlink" Id="rId33" Target="https://doi.org/10.64898/2026.01.14.26344076" TargetMode="External" /></Relationships>
</file>

<file path=word/_rels/footnotes.xml.rels><?xml version="1.0" encoding="UTF-8"?><Relationships xmlns="http://schemas.openxmlformats.org/package/2006/relationships"><Relationship Type="http://schemas.openxmlformats.org/officeDocument/2006/relationships/hyperlink" Id="rId24" Target="https://doi.org/10.1016/j.jpubeco.2020.104254" TargetMode="External" /><Relationship Type="http://schemas.openxmlformats.org/officeDocument/2006/relationships/hyperlink" Id="rId26" Target="https://doi.org/10.1073/pnas.2116311119" TargetMode="External" /><Relationship Type="http://schemas.openxmlformats.org/officeDocument/2006/relationships/hyperlink" Id="rId28" Target="https://doi.org/10.1126/sciadv.abd7204" TargetMode="External" /><Relationship Type="http://schemas.openxmlformats.org/officeDocument/2006/relationships/hyperlink" Id="rId30" Target="https://doi.org/10.1371/journal.pone.0249596" TargetMode="External" /><Relationship Type="http://schemas.openxmlformats.org/officeDocument/2006/relationships/hyperlink" Id="rId33" Target="https://doi.org/10.64898/2026.01.14.263440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Portable Polarization: Partisan Identity, Expressive Attitudes, and COVID-19 Health Behavior</dc:title>
  <dc:creator/>
  <cp:keywords/>
  <dcterms:created xsi:type="dcterms:W3CDTF">2026-05-01T04:47:38Z</dcterms:created>
  <dcterms:modified xsi:type="dcterms:W3CDTF">2026-05-01T04:47:38Z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