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3CF0" w14:textId="77777777" w:rsidR="00FF0891" w:rsidRDefault="00FF0891">
      <w:pPr>
        <w:spacing w:line="480" w:lineRule="auto"/>
        <w:rPr>
          <w:rFonts w:ascii="Times New Roman" w:eastAsia="Times New Roman" w:hAnsi="Times New Roman" w:cs="Times New Roman"/>
        </w:rPr>
      </w:pPr>
    </w:p>
    <w:p w14:paraId="7510DF94" w14:textId="40C64C9B" w:rsidR="004701C0" w:rsidRPr="00425694" w:rsidRDefault="00A41068" w:rsidP="00425694">
      <w:pPr>
        <w:pStyle w:val="Heading2"/>
        <w:numPr>
          <w:ilvl w:val="0"/>
          <w:numId w:val="1"/>
        </w:numPr>
        <w:spacing w:line="480" w:lineRule="auto"/>
        <w:rPr>
          <w:b/>
          <w:bCs/>
        </w:rPr>
      </w:pPr>
      <w:bookmarkStart w:id="0" w:name="_g288jbxa737i" w:colFirst="0" w:colLast="0"/>
      <w:bookmarkEnd w:id="0"/>
      <w:r w:rsidRPr="00425694">
        <w:rPr>
          <w:b/>
          <w:bCs/>
        </w:rPr>
        <w:t xml:space="preserve">Data &amp; </w:t>
      </w:r>
      <w:r w:rsidR="00FF1FBE" w:rsidRPr="00425694">
        <w:rPr>
          <w:b/>
          <w:bCs/>
        </w:rPr>
        <w:t>Methodology</w:t>
      </w:r>
    </w:p>
    <w:p w14:paraId="0240EE4F" w14:textId="56ADBB62" w:rsidR="000B5050" w:rsidRPr="0070583E" w:rsidRDefault="000B5050" w:rsidP="00425694">
      <w:p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</w:pPr>
      <w:r w:rsidRPr="0070583E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Data</w:t>
      </w:r>
    </w:p>
    <w:p w14:paraId="235E2BE0" w14:textId="7A0C4BF7" w:rsidR="004701C0" w:rsidRDefault="00FF1FBE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The UC Berkeley Social Networks Study, or “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UCNets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” is a five-year panel study funded by the National Institute on Aging (</w:t>
      </w:r>
      <w:hyperlink r:id="rId7" w:history="1">
        <w:r w:rsidR="006B75DA" w:rsidRPr="00CB1FBF">
          <w:rPr>
            <w:rStyle w:val="Hyperlink"/>
            <w:rFonts w:ascii="Times New Roman" w:eastAsia="Times New Roman" w:hAnsi="Times New Roman" w:cs="Times New Roman"/>
            <w:highlight w:val="white"/>
          </w:rPr>
          <w:t>http://ucnets.berkeley.edu</w:t>
        </w:r>
      </w:hyperlink>
      <w:r>
        <w:rPr>
          <w:rFonts w:ascii="Times New Roman" w:eastAsia="Times New Roman" w:hAnsi="Times New Roman" w:cs="Times New Roman"/>
          <w:highlight w:val="white"/>
        </w:rPr>
        <w:t>)</w:t>
      </w:r>
      <w:r w:rsidR="006B75DA">
        <w:rPr>
          <w:rFonts w:ascii="Times New Roman" w:eastAsia="Times New Roman" w:hAnsi="Times New Roman" w:cs="Times New Roman"/>
          <w:highlight w:val="white"/>
        </w:rPr>
        <w:t xml:space="preserve"> created with the intent of drawing a</w:t>
      </w:r>
      <w:r w:rsidR="00CF43F3">
        <w:rPr>
          <w:rFonts w:ascii="Times New Roman" w:eastAsia="Times New Roman" w:hAnsi="Times New Roman" w:cs="Times New Roman"/>
          <w:highlight w:val="white"/>
        </w:rPr>
        <w:t>n egocentric</w:t>
      </w:r>
      <w:r w:rsidR="006B75DA">
        <w:rPr>
          <w:rFonts w:ascii="Times New Roman" w:eastAsia="Times New Roman" w:hAnsi="Times New Roman" w:cs="Times New Roman"/>
          <w:highlight w:val="white"/>
        </w:rPr>
        <w:t xml:space="preserve"> map of respondent networks and collecting information about their </w:t>
      </w:r>
      <w:r w:rsidR="0070583E">
        <w:rPr>
          <w:rFonts w:ascii="Times New Roman" w:eastAsia="Times New Roman" w:hAnsi="Times New Roman" w:cs="Times New Roman"/>
          <w:highlight w:val="white"/>
        </w:rPr>
        <w:t xml:space="preserve">social </w:t>
      </w:r>
      <w:r w:rsidR="006B75DA">
        <w:rPr>
          <w:rFonts w:ascii="Times New Roman" w:eastAsia="Times New Roman" w:hAnsi="Times New Roman" w:cs="Times New Roman"/>
          <w:highlight w:val="white"/>
        </w:rPr>
        <w:t>connections</w:t>
      </w:r>
      <w:r>
        <w:rPr>
          <w:rFonts w:ascii="Times New Roman" w:eastAsia="Times New Roman" w:hAnsi="Times New Roman" w:cs="Times New Roman"/>
          <w:highlight w:val="white"/>
        </w:rPr>
        <w:t xml:space="preserve">. Responses </w:t>
      </w:r>
      <w:r w:rsidR="0070583E">
        <w:rPr>
          <w:rFonts w:ascii="Times New Roman" w:eastAsia="Times New Roman" w:hAnsi="Times New Roman" w:cs="Times New Roman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highlight w:val="white"/>
        </w:rPr>
        <w:t xml:space="preserve">were collected in 2015 in the first wave of a longitudinal panel survey through address and Facebook-based sampling. The survey collected data on 1159 people in two cohorts –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21-30 year-olds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and 50-70 year-olds living in the S.F. Bay Area. The surveys/interviews were conducted face</w:t>
      </w:r>
      <w:r w:rsidR="0070583E">
        <w:rPr>
          <w:rFonts w:ascii="Times New Roman" w:eastAsia="Times New Roman" w:hAnsi="Times New Roman" w:cs="Times New Roman"/>
          <w:highlight w:val="white"/>
        </w:rPr>
        <w:t>-</w:t>
      </w:r>
      <w:r>
        <w:rPr>
          <w:rFonts w:ascii="Times New Roman" w:eastAsia="Times New Roman" w:hAnsi="Times New Roman" w:cs="Times New Roman"/>
          <w:highlight w:val="white"/>
        </w:rPr>
        <w:t>to</w:t>
      </w:r>
      <w:r w:rsidR="0070583E">
        <w:rPr>
          <w:rFonts w:ascii="Times New Roman" w:eastAsia="Times New Roman" w:hAnsi="Times New Roman" w:cs="Times New Roman"/>
          <w:highlight w:val="white"/>
        </w:rPr>
        <w:t>-</w:t>
      </w:r>
      <w:r>
        <w:rPr>
          <w:rFonts w:ascii="Times New Roman" w:eastAsia="Times New Roman" w:hAnsi="Times New Roman" w:cs="Times New Roman"/>
          <w:highlight w:val="white"/>
        </w:rPr>
        <w:t xml:space="preserve">face </w:t>
      </w:r>
      <w:r w:rsidR="001A23E5">
        <w:rPr>
          <w:rFonts w:ascii="Times New Roman" w:eastAsia="Times New Roman" w:hAnsi="Times New Roman" w:cs="Times New Roman"/>
          <w:highlight w:val="white"/>
        </w:rPr>
        <w:t>and online</w:t>
      </w:r>
      <w:r>
        <w:rPr>
          <w:rFonts w:ascii="Times New Roman" w:eastAsia="Times New Roman" w:hAnsi="Times New Roman" w:cs="Times New Roman"/>
          <w:highlight w:val="white"/>
        </w:rPr>
        <w:t xml:space="preserve"> (see documentation on website).</w:t>
      </w:r>
      <w:r w:rsidR="0070583E">
        <w:rPr>
          <w:rFonts w:ascii="Times New Roman" w:eastAsia="Times New Roman" w:hAnsi="Times New Roman" w:cs="Times New Roman"/>
        </w:rPr>
        <w:t xml:space="preserve"> The </w:t>
      </w:r>
      <w:proofErr w:type="spellStart"/>
      <w:r w:rsidR="0070583E">
        <w:rPr>
          <w:rFonts w:ascii="Times New Roman" w:eastAsia="Times New Roman" w:hAnsi="Times New Roman" w:cs="Times New Roman"/>
        </w:rPr>
        <w:t>UCNets</w:t>
      </w:r>
      <w:proofErr w:type="spellEnd"/>
      <w:r w:rsidR="0070583E">
        <w:rPr>
          <w:rFonts w:ascii="Times New Roman" w:eastAsia="Times New Roman" w:hAnsi="Times New Roman" w:cs="Times New Roman"/>
        </w:rPr>
        <w:t xml:space="preserve"> survey also collected detailed information about participants’ socioeconomic and health status. </w:t>
      </w:r>
    </w:p>
    <w:p w14:paraId="6EC5F4A2" w14:textId="77915CCF" w:rsidR="004701C0" w:rsidRDefault="00FF1FBE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on social networks was collected by asking respondents name-eliciting questions </w:t>
      </w:r>
      <w:r w:rsidR="00CF43F3"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</w:rPr>
        <w:t xml:space="preserve"> how often they engaged in certain kind</w:t>
      </w:r>
      <w:r w:rsidR="00CF43F3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activity then asking them to provide a list of </w:t>
      </w:r>
      <w:r w:rsidR="002E560E">
        <w:rPr>
          <w:rFonts w:ascii="Times New Roman" w:eastAsia="Times New Roman" w:hAnsi="Times New Roman" w:cs="Times New Roman"/>
        </w:rPr>
        <w:t>names</w:t>
      </w:r>
      <w:r>
        <w:rPr>
          <w:rFonts w:ascii="Times New Roman" w:eastAsia="Times New Roman" w:hAnsi="Times New Roman" w:cs="Times New Roman"/>
        </w:rPr>
        <w:t xml:space="preserve"> they engaged in that activity with. </w:t>
      </w:r>
      <w:r w:rsidR="002E560E">
        <w:rPr>
          <w:rFonts w:ascii="Times New Roman" w:eastAsia="Times New Roman" w:hAnsi="Times New Roman" w:cs="Times New Roman"/>
        </w:rPr>
        <w:t>One of these questions asked respondents to name people they “</w:t>
      </w:r>
      <w:r w:rsidR="002E560E" w:rsidRPr="002E560E">
        <w:rPr>
          <w:rFonts w:ascii="Times New Roman" w:eastAsia="Times New Roman" w:hAnsi="Times New Roman" w:cs="Times New Roman"/>
        </w:rPr>
        <w:t>go out to concerts, plays, clubs, sports, or other events with</w:t>
      </w:r>
      <w:r w:rsidR="002E560E">
        <w:rPr>
          <w:rFonts w:ascii="Times New Roman" w:eastAsia="Times New Roman" w:hAnsi="Times New Roman" w:cs="Times New Roman"/>
        </w:rPr>
        <w:t>…” This question is the focus of our study. If the parents were named in this list of names, they were removed: these are then a list of the respondents</w:t>
      </w:r>
      <w:r w:rsidR="0070583E">
        <w:rPr>
          <w:rFonts w:ascii="Times New Roman" w:eastAsia="Times New Roman" w:hAnsi="Times New Roman" w:cs="Times New Roman"/>
        </w:rPr>
        <w:t>’</w:t>
      </w:r>
      <w:r w:rsidR="002E560E">
        <w:rPr>
          <w:rFonts w:ascii="Times New Roman" w:eastAsia="Times New Roman" w:hAnsi="Times New Roman" w:cs="Times New Roman"/>
        </w:rPr>
        <w:t xml:space="preserve"> “</w:t>
      </w:r>
      <w:r w:rsidR="0070583E">
        <w:rPr>
          <w:rFonts w:ascii="Times New Roman" w:eastAsia="Times New Roman" w:hAnsi="Times New Roman" w:cs="Times New Roman"/>
        </w:rPr>
        <w:t>S</w:t>
      </w:r>
      <w:r w:rsidR="002E560E">
        <w:rPr>
          <w:rFonts w:ascii="Times New Roman" w:eastAsia="Times New Roman" w:hAnsi="Times New Roman" w:cs="Times New Roman"/>
        </w:rPr>
        <w:t xml:space="preserve">ocial </w:t>
      </w:r>
      <w:r w:rsidR="0075149A">
        <w:rPr>
          <w:rFonts w:ascii="Times New Roman" w:eastAsia="Times New Roman" w:hAnsi="Times New Roman" w:cs="Times New Roman"/>
        </w:rPr>
        <w:t>Interaction</w:t>
      </w:r>
      <w:r w:rsidR="002E560E">
        <w:rPr>
          <w:rFonts w:ascii="Times New Roman" w:eastAsia="Times New Roman" w:hAnsi="Times New Roman" w:cs="Times New Roman"/>
        </w:rPr>
        <w:t xml:space="preserve"> </w:t>
      </w:r>
      <w:r w:rsidR="0070583E">
        <w:rPr>
          <w:rFonts w:ascii="Times New Roman" w:eastAsia="Times New Roman" w:hAnsi="Times New Roman" w:cs="Times New Roman"/>
        </w:rPr>
        <w:t>T</w:t>
      </w:r>
      <w:r w:rsidR="002E560E">
        <w:rPr>
          <w:rFonts w:ascii="Times New Roman" w:eastAsia="Times New Roman" w:hAnsi="Times New Roman" w:cs="Times New Roman"/>
        </w:rPr>
        <w:t xml:space="preserve">ies” beyond the parents. </w:t>
      </w:r>
    </w:p>
    <w:p w14:paraId="2422B86A" w14:textId="77FF3864" w:rsidR="0070583E" w:rsidRDefault="0070583E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second stage in the procedure involved asking respondents </w:t>
      </w:r>
      <w:r w:rsidR="0071719C">
        <w:rPr>
          <w:rFonts w:ascii="Times New Roman" w:eastAsia="Times New Roman" w:hAnsi="Times New Roman" w:cs="Times New Roman"/>
        </w:rPr>
        <w:t xml:space="preserve">to describe and interpret their named alters. This stage collected information on the </w:t>
      </w:r>
      <w:r w:rsidR="00453077">
        <w:rPr>
          <w:rFonts w:ascii="Times New Roman" w:eastAsia="Times New Roman" w:hAnsi="Times New Roman" w:cs="Times New Roman"/>
        </w:rPr>
        <w:t>name’s</w:t>
      </w:r>
      <w:r w:rsidR="0071719C">
        <w:rPr>
          <w:rFonts w:ascii="Times New Roman" w:eastAsia="Times New Roman" w:hAnsi="Times New Roman" w:cs="Times New Roman"/>
        </w:rPr>
        <w:t xml:space="preserve"> relationship role, perceived “closeness,” geographic proximity, gender, age, religion, and race and ethnicity. This stage in the procedure was used to identify “Close Fathers” as those alters who were a parent, a male</w:t>
      </w:r>
      <w:r w:rsidR="00453077">
        <w:rPr>
          <w:rFonts w:ascii="Times New Roman" w:eastAsia="Times New Roman" w:hAnsi="Times New Roman" w:cs="Times New Roman"/>
        </w:rPr>
        <w:t>,</w:t>
      </w:r>
      <w:r w:rsidR="0071719C">
        <w:rPr>
          <w:rFonts w:ascii="Times New Roman" w:eastAsia="Times New Roman" w:hAnsi="Times New Roman" w:cs="Times New Roman"/>
        </w:rPr>
        <w:t xml:space="preserve"> and considered by the respondent to be “especially close.” </w:t>
      </w:r>
    </w:p>
    <w:p w14:paraId="268598BE" w14:textId="2EB609A4" w:rsidR="00A41068" w:rsidRPr="0070583E" w:rsidRDefault="006B75D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70583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Variables</w:t>
      </w:r>
    </w:p>
    <w:p w14:paraId="3B46D6E6" w14:textId="01AEB5EB" w:rsidR="004701C0" w:rsidRPr="00425694" w:rsidRDefault="00FF1FBE">
      <w:pPr>
        <w:spacing w:line="480" w:lineRule="auto"/>
        <w:rPr>
          <w:rFonts w:ascii="Times New Roman" w:eastAsia="Times New Roman" w:hAnsi="Times New Roman" w:cs="Times New Roman"/>
          <w:bCs/>
          <w:i/>
          <w:iCs/>
        </w:rPr>
      </w:pPr>
      <w:r w:rsidRPr="00425694">
        <w:rPr>
          <w:rFonts w:ascii="Times New Roman" w:eastAsia="Times New Roman" w:hAnsi="Times New Roman" w:cs="Times New Roman"/>
          <w:bCs/>
          <w:i/>
          <w:iCs/>
        </w:rPr>
        <w:t>Father Variables</w:t>
      </w:r>
    </w:p>
    <w:p w14:paraId="27AF0CB3" w14:textId="5414E998" w:rsidR="004701C0" w:rsidRDefault="00FF1FBE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Father variables were constructed around three categories of respondents. First, </w:t>
      </w:r>
      <w:r w:rsidR="001A23E5">
        <w:rPr>
          <w:rFonts w:ascii="Times New Roman" w:eastAsia="Times New Roman" w:hAnsi="Times New Roman" w:cs="Times New Roman"/>
          <w:highlight w:val="white"/>
        </w:rPr>
        <w:t>some</w:t>
      </w:r>
      <w:r>
        <w:rPr>
          <w:rFonts w:ascii="Times New Roman" w:eastAsia="Times New Roman" w:hAnsi="Times New Roman" w:cs="Times New Roman"/>
          <w:highlight w:val="white"/>
        </w:rPr>
        <w:t xml:space="preserve"> named a father </w:t>
      </w:r>
      <w:r w:rsidR="00636E71">
        <w:rPr>
          <w:rFonts w:ascii="Times New Roman" w:eastAsia="Times New Roman" w:hAnsi="Times New Roman" w:cs="Times New Roman"/>
          <w:highlight w:val="white"/>
        </w:rPr>
        <w:t>in</w:t>
      </w:r>
      <w:r>
        <w:rPr>
          <w:rFonts w:ascii="Times New Roman" w:eastAsia="Times New Roman" w:hAnsi="Times New Roman" w:cs="Times New Roman"/>
          <w:highlight w:val="white"/>
        </w:rPr>
        <w:t xml:space="preserve"> their list </w:t>
      </w:r>
      <w:r w:rsidR="00D60B0D">
        <w:rPr>
          <w:rFonts w:ascii="Times New Roman" w:eastAsia="Times New Roman" w:hAnsi="Times New Roman" w:cs="Times New Roman"/>
          <w:highlight w:val="white"/>
        </w:rPr>
        <w:t>and</w:t>
      </w:r>
      <w:r>
        <w:rPr>
          <w:rFonts w:ascii="Times New Roman" w:eastAsia="Times New Roman" w:hAnsi="Times New Roman" w:cs="Times New Roman"/>
          <w:highlight w:val="white"/>
        </w:rPr>
        <w:t xml:space="preserve"> considered him to be </w:t>
      </w:r>
      <w:r w:rsidR="00D60B0D">
        <w:rPr>
          <w:rFonts w:ascii="Times New Roman" w:eastAsia="Times New Roman" w:hAnsi="Times New Roman" w:cs="Times New Roman"/>
          <w:highlight w:val="white"/>
        </w:rPr>
        <w:t xml:space="preserve">“especially </w:t>
      </w:r>
      <w:r>
        <w:rPr>
          <w:rFonts w:ascii="Times New Roman" w:eastAsia="Times New Roman" w:hAnsi="Times New Roman" w:cs="Times New Roman"/>
          <w:highlight w:val="white"/>
        </w:rPr>
        <w:t xml:space="preserve">close.” Second, </w:t>
      </w:r>
      <w:r w:rsidR="001A23E5">
        <w:rPr>
          <w:rFonts w:ascii="Times New Roman" w:eastAsia="Times New Roman" w:hAnsi="Times New Roman" w:cs="Times New Roman"/>
          <w:highlight w:val="white"/>
        </w:rPr>
        <w:t>some</w:t>
      </w:r>
      <w:r>
        <w:rPr>
          <w:rFonts w:ascii="Times New Roman" w:eastAsia="Times New Roman" w:hAnsi="Times New Roman" w:cs="Times New Roman"/>
          <w:highlight w:val="white"/>
        </w:rPr>
        <w:t xml:space="preserve"> people named their father but did not </w:t>
      </w:r>
      <w:r w:rsidR="00636E71">
        <w:rPr>
          <w:rFonts w:ascii="Times New Roman" w:eastAsia="Times New Roman" w:hAnsi="Times New Roman" w:cs="Times New Roman"/>
          <w:highlight w:val="white"/>
        </w:rPr>
        <w:t>identify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 w:rsidR="001A23E5">
        <w:rPr>
          <w:rFonts w:ascii="Times New Roman" w:eastAsia="Times New Roman" w:hAnsi="Times New Roman" w:cs="Times New Roman"/>
          <w:highlight w:val="white"/>
        </w:rPr>
        <w:t xml:space="preserve">him </w:t>
      </w:r>
      <w:r w:rsidR="00636E71">
        <w:rPr>
          <w:rFonts w:ascii="Times New Roman" w:eastAsia="Times New Roman" w:hAnsi="Times New Roman" w:cs="Times New Roman"/>
          <w:highlight w:val="white"/>
        </w:rPr>
        <w:t>as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 w:rsidR="00636E71">
        <w:rPr>
          <w:rFonts w:ascii="Times New Roman" w:eastAsia="Times New Roman" w:hAnsi="Times New Roman" w:cs="Times New Roman"/>
          <w:highlight w:val="white"/>
        </w:rPr>
        <w:t>“</w:t>
      </w:r>
      <w:r w:rsidR="00D60B0D">
        <w:rPr>
          <w:rFonts w:ascii="Times New Roman" w:eastAsia="Times New Roman" w:hAnsi="Times New Roman" w:cs="Times New Roman"/>
          <w:highlight w:val="white"/>
        </w:rPr>
        <w:t xml:space="preserve">especially </w:t>
      </w:r>
      <w:r>
        <w:rPr>
          <w:rFonts w:ascii="Times New Roman" w:eastAsia="Times New Roman" w:hAnsi="Times New Roman" w:cs="Times New Roman"/>
          <w:highlight w:val="white"/>
        </w:rPr>
        <w:t>close.</w:t>
      </w:r>
      <w:r w:rsidR="00636E71">
        <w:rPr>
          <w:rFonts w:ascii="Times New Roman" w:eastAsia="Times New Roman" w:hAnsi="Times New Roman" w:cs="Times New Roman"/>
          <w:highlight w:val="white"/>
        </w:rPr>
        <w:t>”</w:t>
      </w:r>
      <w:r>
        <w:rPr>
          <w:rFonts w:ascii="Times New Roman" w:eastAsia="Times New Roman" w:hAnsi="Times New Roman" w:cs="Times New Roman"/>
          <w:highlight w:val="white"/>
        </w:rPr>
        <w:t xml:space="preserve"> Lastly, </w:t>
      </w:r>
      <w:r w:rsidR="001A23E5">
        <w:rPr>
          <w:rFonts w:ascii="Times New Roman" w:eastAsia="Times New Roman" w:hAnsi="Times New Roman" w:cs="Times New Roman"/>
          <w:highlight w:val="white"/>
        </w:rPr>
        <w:t xml:space="preserve">some </w:t>
      </w:r>
      <w:r>
        <w:rPr>
          <w:rFonts w:ascii="Times New Roman" w:eastAsia="Times New Roman" w:hAnsi="Times New Roman" w:cs="Times New Roman"/>
          <w:highlight w:val="white"/>
        </w:rPr>
        <w:t>respondents did not name</w:t>
      </w:r>
      <w:r w:rsidR="00D60B0D"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a father for whatever reason</w:t>
      </w:r>
      <w:r w:rsidR="00636E71">
        <w:rPr>
          <w:rFonts w:ascii="Times New Roman" w:eastAsia="Times New Roman" w:hAnsi="Times New Roman" w:cs="Times New Roman"/>
          <w:highlight w:val="white"/>
        </w:rPr>
        <w:t xml:space="preserve"> but reported that he was alive</w:t>
      </w:r>
      <w:r>
        <w:rPr>
          <w:rFonts w:ascii="Times New Roman" w:eastAsia="Times New Roman" w:hAnsi="Times New Roman" w:cs="Times New Roman"/>
          <w:highlight w:val="white"/>
        </w:rPr>
        <w:t xml:space="preserve">. </w:t>
      </w:r>
      <w:r w:rsidR="00636E71">
        <w:rPr>
          <w:rFonts w:ascii="Times New Roman" w:eastAsia="Times New Roman" w:hAnsi="Times New Roman" w:cs="Times New Roman"/>
          <w:highlight w:val="white"/>
        </w:rPr>
        <w:t xml:space="preserve">This last </w:t>
      </w:r>
      <w:r w:rsidR="006B34FE">
        <w:rPr>
          <w:rFonts w:ascii="Times New Roman" w:eastAsia="Times New Roman" w:hAnsi="Times New Roman" w:cs="Times New Roman"/>
          <w:highlight w:val="white"/>
        </w:rPr>
        <w:t>category</w:t>
      </w:r>
      <w:r w:rsidR="00636E71">
        <w:rPr>
          <w:rFonts w:ascii="Times New Roman" w:eastAsia="Times New Roman" w:hAnsi="Times New Roman" w:cs="Times New Roman"/>
          <w:highlight w:val="white"/>
        </w:rPr>
        <w:t xml:space="preserve"> represents respondents with </w:t>
      </w:r>
      <w:r w:rsidR="006B34FE">
        <w:rPr>
          <w:rFonts w:ascii="Times New Roman" w:eastAsia="Times New Roman" w:hAnsi="Times New Roman" w:cs="Times New Roman"/>
          <w:highlight w:val="white"/>
        </w:rPr>
        <w:t xml:space="preserve">an “estranged” father—a father who is alive but not present in their lives. </w:t>
      </w:r>
      <w:r w:rsidR="00D60B0D">
        <w:rPr>
          <w:rFonts w:ascii="Times New Roman" w:eastAsia="Times New Roman" w:hAnsi="Times New Roman" w:cs="Times New Roman"/>
          <w:highlight w:val="white"/>
        </w:rPr>
        <w:t xml:space="preserve">All deceased fathers were removed from the analysis. </w:t>
      </w:r>
      <w:r w:rsidR="006B34FE">
        <w:rPr>
          <w:rFonts w:ascii="Times New Roman" w:eastAsia="Times New Roman" w:hAnsi="Times New Roman" w:cs="Times New Roman"/>
          <w:highlight w:val="white"/>
        </w:rPr>
        <w:t>Parallel</w:t>
      </w:r>
      <w:r>
        <w:rPr>
          <w:rFonts w:ascii="Times New Roman" w:eastAsia="Times New Roman" w:hAnsi="Times New Roman" w:cs="Times New Roman"/>
          <w:highlight w:val="white"/>
        </w:rPr>
        <w:t xml:space="preserve"> “close” mother variables</w:t>
      </w:r>
      <w:r w:rsidR="006B34FE">
        <w:rPr>
          <w:rFonts w:ascii="Times New Roman" w:eastAsia="Times New Roman" w:hAnsi="Times New Roman" w:cs="Times New Roman"/>
          <w:highlight w:val="white"/>
        </w:rPr>
        <w:t xml:space="preserve"> were also created</w:t>
      </w:r>
      <w:r>
        <w:rPr>
          <w:rFonts w:ascii="Times New Roman" w:eastAsia="Times New Roman" w:hAnsi="Times New Roman" w:cs="Times New Roman"/>
          <w:highlight w:val="white"/>
        </w:rPr>
        <w:t xml:space="preserve">. </w:t>
      </w:r>
    </w:p>
    <w:p w14:paraId="3684AA4E" w14:textId="77777777" w:rsidR="006B34FE" w:rsidRDefault="00FF1FBE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It’s important to note that a father simply </w:t>
      </w:r>
      <w:r>
        <w:rPr>
          <w:rFonts w:ascii="Times New Roman" w:eastAsia="Times New Roman" w:hAnsi="Times New Roman" w:cs="Times New Roman"/>
          <w:i/>
          <w:highlight w:val="white"/>
        </w:rPr>
        <w:t>being named</w:t>
      </w:r>
      <w:r>
        <w:rPr>
          <w:rFonts w:ascii="Times New Roman" w:eastAsia="Times New Roman" w:hAnsi="Times New Roman" w:cs="Times New Roman"/>
          <w:highlight w:val="white"/>
        </w:rPr>
        <w:t xml:space="preserve"> in the network may be more significant than him being “close” when observing social network outcomes. In other words, a father being named may be associated with a more robust social network while him being considered “close” may not be. There is no assumption of a linear relationship between the three categories (close father, non-close father named, and no father named). </w:t>
      </w:r>
    </w:p>
    <w:p w14:paraId="3019501D" w14:textId="301071CE" w:rsidR="004701C0" w:rsidRDefault="006B34FE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Lastly, the study asks respondents to identify their father as, “anyone they consider to be a father.” Thus, this variable does not only represent biological fathers</w:t>
      </w:r>
      <w:r w:rsidR="0075149A">
        <w:rPr>
          <w:rFonts w:ascii="Times New Roman" w:eastAsia="Times New Roman" w:hAnsi="Times New Roman" w:cs="Times New Roman"/>
          <w:highlight w:val="white"/>
        </w:rPr>
        <w:t xml:space="preserve"> and so</w:t>
      </w:r>
      <w:r w:rsidR="00FF1FBE">
        <w:rPr>
          <w:rFonts w:ascii="Times New Roman" w:eastAsia="Times New Roman" w:hAnsi="Times New Roman" w:cs="Times New Roman"/>
          <w:highlight w:val="white"/>
        </w:rPr>
        <w:t xml:space="preserve"> both fathers and the small number of stepfathers</w:t>
      </w:r>
      <w:r w:rsidR="0075149A">
        <w:rPr>
          <w:rFonts w:ascii="Times New Roman" w:eastAsia="Times New Roman" w:hAnsi="Times New Roman" w:cs="Times New Roman"/>
          <w:highlight w:val="white"/>
        </w:rPr>
        <w:t xml:space="preserve"> (8 in total)</w:t>
      </w:r>
      <w:r w:rsidR="00FF1FBE">
        <w:rPr>
          <w:rFonts w:ascii="Times New Roman" w:eastAsia="Times New Roman" w:hAnsi="Times New Roman" w:cs="Times New Roman"/>
          <w:highlight w:val="white"/>
        </w:rPr>
        <w:t xml:space="preserve"> reported by respondents </w:t>
      </w:r>
      <w:r w:rsidR="0075149A">
        <w:rPr>
          <w:rFonts w:ascii="Times New Roman" w:eastAsia="Times New Roman" w:hAnsi="Times New Roman" w:cs="Times New Roman"/>
          <w:highlight w:val="white"/>
        </w:rPr>
        <w:t>are “fathers</w:t>
      </w:r>
      <w:r w:rsidR="00FF1FBE">
        <w:rPr>
          <w:rFonts w:ascii="Times New Roman" w:eastAsia="Times New Roman" w:hAnsi="Times New Roman" w:cs="Times New Roman"/>
          <w:highlight w:val="white"/>
        </w:rPr>
        <w:t>.</w:t>
      </w:r>
      <w:r w:rsidR="0075149A">
        <w:rPr>
          <w:rFonts w:ascii="Times New Roman" w:eastAsia="Times New Roman" w:hAnsi="Times New Roman" w:cs="Times New Roman"/>
          <w:highlight w:val="white"/>
        </w:rPr>
        <w:t>”</w:t>
      </w:r>
      <w:r w:rsidR="00FF1FBE">
        <w:rPr>
          <w:rFonts w:ascii="Times New Roman" w:eastAsia="Times New Roman" w:hAnsi="Times New Roman" w:cs="Times New Roman"/>
          <w:highlight w:val="white"/>
        </w:rPr>
        <w:t xml:space="preserve"> </w:t>
      </w:r>
      <w:r w:rsidR="00A5487F">
        <w:rPr>
          <w:rFonts w:ascii="Times New Roman" w:eastAsia="Times New Roman" w:hAnsi="Times New Roman" w:cs="Times New Roman"/>
        </w:rPr>
        <w:t xml:space="preserve">People who reported more than one father or mother in this study were excluded; their reason for stating they had two fathers/mothers was not clear.  </w:t>
      </w:r>
    </w:p>
    <w:p w14:paraId="56232946" w14:textId="39795CB3" w:rsidR="004701C0" w:rsidRPr="00425694" w:rsidRDefault="0075149A">
      <w:pPr>
        <w:spacing w:line="480" w:lineRule="auto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Cs/>
          <w:i/>
          <w:iCs/>
        </w:rPr>
        <w:t>Social Interaction Variables</w:t>
      </w:r>
    </w:p>
    <w:p w14:paraId="66410CFD" w14:textId="0F84AC0F" w:rsidR="0022412F" w:rsidRDefault="0075149A" w:rsidP="0022412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six name-generating questions in the study generated a list of people with whom the respondent engaged in different types of social interaction</w:t>
      </w:r>
      <w:r w:rsidR="00FF1FBE">
        <w:rPr>
          <w:rFonts w:ascii="Times New Roman" w:eastAsia="Times New Roman" w:hAnsi="Times New Roman" w:cs="Times New Roman"/>
        </w:rPr>
        <w:t xml:space="preserve">. </w:t>
      </w:r>
      <w:r w:rsidR="0022412F">
        <w:rPr>
          <w:rFonts w:ascii="Times New Roman" w:eastAsia="Times New Roman" w:hAnsi="Times New Roman" w:cs="Times New Roman"/>
        </w:rPr>
        <w:t>We</w:t>
      </w:r>
      <w:r w:rsidR="00FF1FBE">
        <w:rPr>
          <w:rFonts w:ascii="Times New Roman" w:eastAsia="Times New Roman" w:hAnsi="Times New Roman" w:cs="Times New Roman"/>
        </w:rPr>
        <w:t xml:space="preserve"> used the total amount of people the respondent named as someone they engaged in social </w:t>
      </w:r>
      <w:r w:rsidR="0022412F">
        <w:rPr>
          <w:rFonts w:ascii="Times New Roman" w:eastAsia="Times New Roman" w:hAnsi="Times New Roman" w:cs="Times New Roman"/>
        </w:rPr>
        <w:t>interaction</w:t>
      </w:r>
      <w:r w:rsidR="00FF1FBE">
        <w:rPr>
          <w:rFonts w:ascii="Times New Roman" w:eastAsia="Times New Roman" w:hAnsi="Times New Roman" w:cs="Times New Roman"/>
        </w:rPr>
        <w:t xml:space="preserve"> with</w:t>
      </w:r>
      <w:r w:rsidR="0022412F">
        <w:rPr>
          <w:rFonts w:ascii="Times New Roman" w:eastAsia="Times New Roman" w:hAnsi="Times New Roman" w:cs="Times New Roman"/>
        </w:rPr>
        <w:t xml:space="preserve">. </w:t>
      </w:r>
      <w:r w:rsidR="00A5487F">
        <w:rPr>
          <w:rFonts w:ascii="Times New Roman" w:eastAsia="Times New Roman" w:hAnsi="Times New Roman" w:cs="Times New Roman"/>
        </w:rPr>
        <w:t xml:space="preserve">Three people in this study who answered the survey but refused to provide any information about their social network </w:t>
      </w:r>
      <w:r>
        <w:rPr>
          <w:rFonts w:ascii="Times New Roman" w:eastAsia="Times New Roman" w:hAnsi="Times New Roman" w:cs="Times New Roman"/>
        </w:rPr>
        <w:t xml:space="preserve">and </w:t>
      </w:r>
      <w:r w:rsidR="00A5487F">
        <w:rPr>
          <w:rFonts w:ascii="Times New Roman" w:eastAsia="Times New Roman" w:hAnsi="Times New Roman" w:cs="Times New Roman"/>
        </w:rPr>
        <w:t>were removed from th</w:t>
      </w:r>
      <w:r>
        <w:rPr>
          <w:rFonts w:ascii="Times New Roman" w:eastAsia="Times New Roman" w:hAnsi="Times New Roman" w:cs="Times New Roman"/>
        </w:rPr>
        <w:t>e</w:t>
      </w:r>
      <w:r w:rsidR="00A5487F">
        <w:rPr>
          <w:rFonts w:ascii="Times New Roman" w:eastAsia="Times New Roman" w:hAnsi="Times New Roman" w:cs="Times New Roman"/>
        </w:rPr>
        <w:t xml:space="preserve"> sample. </w:t>
      </w:r>
      <w:r w:rsidR="00FF1FBE">
        <w:rPr>
          <w:rFonts w:ascii="Times New Roman" w:eastAsia="Times New Roman" w:hAnsi="Times New Roman" w:cs="Times New Roman"/>
        </w:rPr>
        <w:t xml:space="preserve">Social activities </w:t>
      </w:r>
      <w:r w:rsidR="0022412F">
        <w:rPr>
          <w:rFonts w:ascii="Times New Roman" w:eastAsia="Times New Roman" w:hAnsi="Times New Roman" w:cs="Times New Roman"/>
        </w:rPr>
        <w:t>are</w:t>
      </w:r>
      <w:r w:rsidR="00FF1FBE">
        <w:rPr>
          <w:rFonts w:ascii="Times New Roman" w:eastAsia="Times New Roman" w:hAnsi="Times New Roman" w:cs="Times New Roman"/>
        </w:rPr>
        <w:t xml:space="preserve"> defined generally as anything “social,” such as hanging out, going to a movie together, going out for drinks, etc. </w:t>
      </w:r>
    </w:p>
    <w:p w14:paraId="6B34BA65" w14:textId="77777777" w:rsidR="00025BC3" w:rsidRDefault="0022412F" w:rsidP="00025BC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1A shows the distribution of all “Social Interaction” alters named in a network by role relationship, gender.  </w:t>
      </w:r>
      <w:r w:rsidR="0010633D">
        <w:rPr>
          <w:rFonts w:ascii="Times New Roman" w:eastAsia="Times New Roman" w:hAnsi="Times New Roman" w:cs="Times New Roman"/>
        </w:rPr>
        <w:t xml:space="preserve">Because we were interested in the association between a close parent and the </w:t>
      </w:r>
      <w:r w:rsidR="0010633D">
        <w:rPr>
          <w:rFonts w:ascii="Times New Roman" w:eastAsia="Times New Roman" w:hAnsi="Times New Roman" w:cs="Times New Roman"/>
        </w:rPr>
        <w:lastRenderedPageBreak/>
        <w:t xml:space="preserve">number of people the respondent interacted with </w:t>
      </w:r>
      <w:r w:rsidR="0010633D">
        <w:rPr>
          <w:rFonts w:ascii="Times New Roman" w:eastAsia="Times New Roman" w:hAnsi="Times New Roman" w:cs="Times New Roman"/>
          <w:i/>
        </w:rPr>
        <w:t>beyond</w:t>
      </w:r>
      <w:r w:rsidR="0010633D">
        <w:rPr>
          <w:rFonts w:ascii="Times New Roman" w:eastAsia="Times New Roman" w:hAnsi="Times New Roman" w:cs="Times New Roman"/>
        </w:rPr>
        <w:t xml:space="preserve"> them, </w:t>
      </w:r>
      <w:r w:rsidR="00DE33D5">
        <w:rPr>
          <w:rFonts w:ascii="Times New Roman" w:eastAsia="Times New Roman" w:hAnsi="Times New Roman" w:cs="Times New Roman"/>
        </w:rPr>
        <w:t>we</w:t>
      </w:r>
      <w:r w:rsidR="0010633D">
        <w:rPr>
          <w:rFonts w:ascii="Times New Roman" w:eastAsia="Times New Roman" w:hAnsi="Times New Roman" w:cs="Times New Roman"/>
        </w:rPr>
        <w:t xml:space="preserve"> removed parents from these three lists </w:t>
      </w:r>
      <w:r w:rsidR="0010633D">
        <w:rPr>
          <w:rFonts w:ascii="Times New Roman" w:eastAsia="Times New Roman" w:hAnsi="Times New Roman" w:cs="Times New Roman"/>
          <w:i/>
        </w:rPr>
        <w:t>if</w:t>
      </w:r>
      <w:r w:rsidR="0010633D">
        <w:rPr>
          <w:rFonts w:ascii="Times New Roman" w:eastAsia="Times New Roman" w:hAnsi="Times New Roman" w:cs="Times New Roman"/>
        </w:rPr>
        <w:t xml:space="preserve"> they were named. The result was </w:t>
      </w:r>
      <w:r w:rsidR="00DE33D5">
        <w:rPr>
          <w:rFonts w:ascii="Times New Roman" w:eastAsia="Times New Roman" w:hAnsi="Times New Roman" w:cs="Times New Roman"/>
        </w:rPr>
        <w:t>a</w:t>
      </w:r>
      <w:r w:rsidR="0010633D">
        <w:rPr>
          <w:rFonts w:ascii="Times New Roman" w:eastAsia="Times New Roman" w:hAnsi="Times New Roman" w:cs="Times New Roman"/>
        </w:rPr>
        <w:t xml:space="preserve"> </w:t>
      </w:r>
      <w:r w:rsidR="00DE33D5">
        <w:rPr>
          <w:rFonts w:ascii="Times New Roman" w:eastAsia="Times New Roman" w:hAnsi="Times New Roman" w:cs="Times New Roman"/>
        </w:rPr>
        <w:t>dependent variable</w:t>
      </w:r>
      <w:r w:rsidR="0010633D">
        <w:rPr>
          <w:rFonts w:ascii="Times New Roman" w:eastAsia="Times New Roman" w:hAnsi="Times New Roman" w:cs="Times New Roman"/>
        </w:rPr>
        <w:t xml:space="preserve"> in which all mothers and fathers are removed from</w:t>
      </w:r>
      <w:r w:rsidR="00DE33D5">
        <w:rPr>
          <w:rFonts w:ascii="Times New Roman" w:eastAsia="Times New Roman" w:hAnsi="Times New Roman" w:cs="Times New Roman"/>
        </w:rPr>
        <w:t xml:space="preserve"> the</w:t>
      </w:r>
      <w:r w:rsidR="0010633D">
        <w:rPr>
          <w:rFonts w:ascii="Times New Roman" w:eastAsia="Times New Roman" w:hAnsi="Times New Roman" w:cs="Times New Roman"/>
        </w:rPr>
        <w:t xml:space="preserve"> social </w:t>
      </w:r>
      <w:r w:rsidR="00DE33D5">
        <w:rPr>
          <w:rFonts w:ascii="Times New Roman" w:eastAsia="Times New Roman" w:hAnsi="Times New Roman" w:cs="Times New Roman"/>
        </w:rPr>
        <w:t>interaction</w:t>
      </w:r>
      <w:r w:rsidR="0010633D">
        <w:rPr>
          <w:rFonts w:ascii="Times New Roman" w:eastAsia="Times New Roman" w:hAnsi="Times New Roman" w:cs="Times New Roman"/>
        </w:rPr>
        <w:t xml:space="preserve"> list. </w:t>
      </w:r>
      <w:r w:rsidR="00DE33D5">
        <w:rPr>
          <w:rFonts w:ascii="Times New Roman" w:eastAsia="Times New Roman" w:hAnsi="Times New Roman" w:cs="Times New Roman"/>
        </w:rPr>
        <w:t>We then break this information out into</w:t>
      </w:r>
      <w:r w:rsidR="0010633D">
        <w:rPr>
          <w:rFonts w:ascii="Times New Roman" w:eastAsia="Times New Roman" w:hAnsi="Times New Roman" w:cs="Times New Roman"/>
        </w:rPr>
        <w:t xml:space="preserve"> 3 distinct </w:t>
      </w:r>
      <w:r w:rsidR="00DE33D5">
        <w:rPr>
          <w:rFonts w:ascii="Times New Roman" w:eastAsia="Times New Roman" w:hAnsi="Times New Roman" w:cs="Times New Roman"/>
        </w:rPr>
        <w:t>lists</w:t>
      </w:r>
      <w:r w:rsidR="0010633D">
        <w:rPr>
          <w:rFonts w:ascii="Times New Roman" w:eastAsia="Times New Roman" w:hAnsi="Times New Roman" w:cs="Times New Roman"/>
        </w:rPr>
        <w:t xml:space="preserve"> (which are analyzed in separate models): the total number of </w:t>
      </w:r>
      <w:r w:rsidR="00DE33D5">
        <w:rPr>
          <w:rFonts w:ascii="Times New Roman" w:eastAsia="Times New Roman" w:hAnsi="Times New Roman" w:cs="Times New Roman"/>
        </w:rPr>
        <w:t>“Social Interaction Ties</w:t>
      </w:r>
      <w:r w:rsidR="0010633D">
        <w:rPr>
          <w:rFonts w:ascii="Times New Roman" w:eastAsia="Times New Roman" w:hAnsi="Times New Roman" w:cs="Times New Roman"/>
        </w:rPr>
        <w:t>,</w:t>
      </w:r>
      <w:r w:rsidR="00DE33D5">
        <w:rPr>
          <w:rFonts w:ascii="Times New Roman" w:eastAsia="Times New Roman" w:hAnsi="Times New Roman" w:cs="Times New Roman"/>
        </w:rPr>
        <w:t>”</w:t>
      </w:r>
      <w:r w:rsidR="0010633D">
        <w:rPr>
          <w:rFonts w:ascii="Times New Roman" w:eastAsia="Times New Roman" w:hAnsi="Times New Roman" w:cs="Times New Roman"/>
        </w:rPr>
        <w:t xml:space="preserve"> </w:t>
      </w:r>
      <w:r w:rsidR="00DE33D5">
        <w:rPr>
          <w:rFonts w:ascii="Times New Roman" w:eastAsia="Times New Roman" w:hAnsi="Times New Roman" w:cs="Times New Roman"/>
        </w:rPr>
        <w:t>male-only “Social Interaction Ties</w:t>
      </w:r>
      <w:r w:rsidR="0010633D">
        <w:rPr>
          <w:rFonts w:ascii="Times New Roman" w:eastAsia="Times New Roman" w:hAnsi="Times New Roman" w:cs="Times New Roman"/>
        </w:rPr>
        <w:t>,</w:t>
      </w:r>
      <w:r w:rsidR="00DE33D5">
        <w:rPr>
          <w:rFonts w:ascii="Times New Roman" w:eastAsia="Times New Roman" w:hAnsi="Times New Roman" w:cs="Times New Roman"/>
        </w:rPr>
        <w:t>”</w:t>
      </w:r>
      <w:r w:rsidR="0010633D">
        <w:rPr>
          <w:rFonts w:ascii="Times New Roman" w:eastAsia="Times New Roman" w:hAnsi="Times New Roman" w:cs="Times New Roman"/>
        </w:rPr>
        <w:t xml:space="preserve"> and the </w:t>
      </w:r>
      <w:r w:rsidR="00DE33D5">
        <w:rPr>
          <w:rFonts w:ascii="Times New Roman" w:eastAsia="Times New Roman" w:hAnsi="Times New Roman" w:cs="Times New Roman"/>
        </w:rPr>
        <w:t>female-only “Social Interaction Ties</w:t>
      </w:r>
      <w:r w:rsidR="0010633D">
        <w:rPr>
          <w:rFonts w:ascii="Times New Roman" w:eastAsia="Times New Roman" w:hAnsi="Times New Roman" w:cs="Times New Roman"/>
        </w:rPr>
        <w:t>.</w:t>
      </w:r>
      <w:r w:rsidR="00DE33D5">
        <w:rPr>
          <w:rFonts w:ascii="Times New Roman" w:eastAsia="Times New Roman" w:hAnsi="Times New Roman" w:cs="Times New Roman"/>
        </w:rPr>
        <w:t>”</w:t>
      </w:r>
      <w:r w:rsidR="0010633D">
        <w:rPr>
          <w:rFonts w:ascii="Times New Roman" w:eastAsia="Times New Roman" w:hAnsi="Times New Roman" w:cs="Times New Roman"/>
        </w:rPr>
        <w:t xml:space="preserve"> </w:t>
      </w:r>
    </w:p>
    <w:p w14:paraId="106061F7" w14:textId="505E0768" w:rsidR="0010633D" w:rsidRDefault="00025BC3" w:rsidP="00025BC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1B </w:t>
      </w:r>
      <w:r w:rsidR="00574707"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</w:rPr>
        <w:t xml:space="preserve"> cross-tabulations </w:t>
      </w:r>
      <w:r w:rsidR="00574707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E84D2F">
        <w:rPr>
          <w:rFonts w:ascii="Times New Roman" w:eastAsia="Times New Roman" w:hAnsi="Times New Roman" w:cs="Times New Roman"/>
        </w:rPr>
        <w:t>weighted case means</w:t>
      </w:r>
      <w:r>
        <w:rPr>
          <w:rFonts w:ascii="Times New Roman" w:eastAsia="Times New Roman" w:hAnsi="Times New Roman" w:cs="Times New Roman"/>
        </w:rPr>
        <w:t xml:space="preserve"> </w:t>
      </w:r>
      <w:r w:rsidR="00E84D2F"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</w:rPr>
        <w:t>“Social Interaction Ties” by type of father relationship</w:t>
      </w:r>
      <w:r w:rsidR="00574707">
        <w:rPr>
          <w:rFonts w:ascii="Times New Roman" w:eastAsia="Times New Roman" w:hAnsi="Times New Roman" w:cs="Times New Roman"/>
        </w:rPr>
        <w:t xml:space="preserve"> alongside N counts</w:t>
      </w:r>
      <w:r>
        <w:rPr>
          <w:rFonts w:ascii="Times New Roman" w:eastAsia="Times New Roman" w:hAnsi="Times New Roman" w:cs="Times New Roman"/>
        </w:rPr>
        <w:t xml:space="preserve">. </w:t>
      </w:r>
      <w:r w:rsidR="00E84D2F">
        <w:rPr>
          <w:rFonts w:ascii="Times New Roman" w:eastAsia="Times New Roman" w:hAnsi="Times New Roman" w:cs="Times New Roman"/>
        </w:rPr>
        <w:t xml:space="preserve">Generally, those with an “especially close” father report a higher average amount of “Social Interaction Ties.” </w:t>
      </w:r>
    </w:p>
    <w:p w14:paraId="4727561D" w14:textId="77777777" w:rsidR="0010633D" w:rsidRDefault="0010633D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3480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130"/>
        <w:gridCol w:w="2344"/>
        <w:gridCol w:w="222"/>
      </w:tblGrid>
      <w:tr w:rsidR="00DE33D5" w:rsidRPr="00DE33D5" w14:paraId="106C8623" w14:textId="77777777" w:rsidTr="00DE33D5">
        <w:trPr>
          <w:gridAfter w:val="1"/>
          <w:wAfter w:w="6" w:type="dxa"/>
          <w:trHeight w:val="900"/>
          <w:jc w:val="center"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CEC29" w14:textId="77777777" w:rsidR="00DE33D5" w:rsidRPr="00DE33D5" w:rsidRDefault="00DE33D5" w:rsidP="00DE33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Table 1A: Cross-Tabulation by Number of Alters named as Social Ties, Confidants, and Advice Givers</w:t>
            </w:r>
          </w:p>
        </w:tc>
      </w:tr>
      <w:tr w:rsidR="00DE33D5" w:rsidRPr="00DE33D5" w14:paraId="4B524B3A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AAC2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Category</w:t>
            </w:r>
          </w:p>
        </w:tc>
        <w:tc>
          <w:tcPr>
            <w:tcW w:w="2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A3DAE3E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Social Ties</w:t>
            </w:r>
          </w:p>
        </w:tc>
      </w:tr>
      <w:tr w:rsidR="00DE33D5" w:rsidRPr="00DE33D5" w14:paraId="61D15E75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CD95" w14:textId="77777777" w:rsidR="00DE33D5" w:rsidRPr="00DE33D5" w:rsidRDefault="00DE33D5" w:rsidP="00DE33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All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AFA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6,539</w:t>
            </w:r>
          </w:p>
        </w:tc>
      </w:tr>
      <w:tr w:rsidR="00DE33D5" w:rsidRPr="00DE33D5" w14:paraId="3CC79FE9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8F3D" w14:textId="77777777" w:rsidR="00DE33D5" w:rsidRPr="00DE33D5" w:rsidRDefault="00DE33D5" w:rsidP="00DE33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Males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DDBD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2,622</w:t>
            </w:r>
          </w:p>
        </w:tc>
      </w:tr>
      <w:tr w:rsidR="00DE33D5" w:rsidRPr="00DE33D5" w14:paraId="6B5E43C1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780C" w14:textId="77777777" w:rsidR="00DE33D5" w:rsidRPr="00DE33D5" w:rsidRDefault="00DE33D5" w:rsidP="00DE33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Females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4C5C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3,906</w:t>
            </w:r>
          </w:p>
        </w:tc>
      </w:tr>
      <w:tr w:rsidR="00DE33D5" w:rsidRPr="00DE33D5" w14:paraId="1E925BD2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3741" w14:textId="77777777" w:rsidR="00DE33D5" w:rsidRPr="00DE33D5" w:rsidRDefault="00DE33D5" w:rsidP="00DE33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Fathers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8112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E33D5" w:rsidRPr="00DE33D5" w14:paraId="635B5DCB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D93751" w14:textId="77777777" w:rsidR="00DE33D5" w:rsidRPr="00DE33D5" w:rsidRDefault="00DE33D5" w:rsidP="00DE33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Mothers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8D2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131</w:t>
            </w:r>
          </w:p>
        </w:tc>
      </w:tr>
      <w:tr w:rsidR="00DE33D5" w:rsidRPr="00DE33D5" w14:paraId="40EE519C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34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A182D" w14:textId="77777777" w:rsidR="00DE33D5" w:rsidRPr="00DE33D5" w:rsidRDefault="00DE33D5" w:rsidP="00DE33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Total Beyond Parents</w:t>
            </w:r>
          </w:p>
        </w:tc>
      </w:tr>
      <w:tr w:rsidR="00DE33D5" w:rsidRPr="00DE33D5" w14:paraId="5FB44063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B0A8" w14:textId="77777777" w:rsidR="00DE33D5" w:rsidRPr="00DE33D5" w:rsidRDefault="00DE33D5" w:rsidP="00DE33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All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CE7C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6,338</w:t>
            </w:r>
          </w:p>
        </w:tc>
      </w:tr>
      <w:tr w:rsidR="00DE33D5" w:rsidRPr="00DE33D5" w14:paraId="2FBA1FDE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11E6" w14:textId="77777777" w:rsidR="00DE33D5" w:rsidRPr="00DE33D5" w:rsidRDefault="00DE33D5" w:rsidP="00DE33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Males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68AB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2,552</w:t>
            </w:r>
          </w:p>
        </w:tc>
      </w:tr>
      <w:tr w:rsidR="00DE33D5" w:rsidRPr="00DE33D5" w14:paraId="51782925" w14:textId="77777777" w:rsidTr="00DE33D5">
        <w:trPr>
          <w:gridAfter w:val="1"/>
          <w:wAfter w:w="6" w:type="dxa"/>
          <w:trHeight w:val="300"/>
          <w:jc w:val="center"/>
        </w:trPr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566E3" w14:textId="77777777" w:rsidR="00DE33D5" w:rsidRPr="00DE33D5" w:rsidRDefault="00DE33D5" w:rsidP="00DE33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Females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8C0C5" w14:textId="77777777" w:rsidR="00DE33D5" w:rsidRPr="00DE33D5" w:rsidRDefault="00DE33D5" w:rsidP="00DE33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3,775</w:t>
            </w:r>
          </w:p>
        </w:tc>
      </w:tr>
      <w:tr w:rsidR="00DE33D5" w:rsidRPr="00DE33D5" w14:paraId="72AEC350" w14:textId="77777777" w:rsidTr="00DE33D5">
        <w:trPr>
          <w:gridAfter w:val="1"/>
          <w:wAfter w:w="6" w:type="dxa"/>
          <w:trHeight w:val="420"/>
          <w:jc w:val="center"/>
        </w:trPr>
        <w:tc>
          <w:tcPr>
            <w:tcW w:w="34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F59A5" w14:textId="4FBC70B9" w:rsidR="00DE33D5" w:rsidRPr="00DE33D5" w:rsidRDefault="00DE33D5" w:rsidP="00DE33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Note: Fathers and Mothers in this sample are anyone the respondent considers to be a "Father" or "Mother," </w:t>
            </w: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stepparents</w:t>
            </w:r>
            <w:r w:rsidRPr="00DE33D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are included. </w:t>
            </w:r>
          </w:p>
        </w:tc>
      </w:tr>
      <w:tr w:rsidR="00DE33D5" w:rsidRPr="00DE33D5" w14:paraId="054521DE" w14:textId="77777777" w:rsidTr="00DE33D5">
        <w:trPr>
          <w:trHeight w:val="420"/>
          <w:jc w:val="center"/>
        </w:trPr>
        <w:tc>
          <w:tcPr>
            <w:tcW w:w="34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7D2FE" w14:textId="77777777" w:rsidR="00DE33D5" w:rsidRPr="00DE33D5" w:rsidRDefault="00DE33D5" w:rsidP="00DE33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28B9" w14:textId="77777777" w:rsidR="00DE33D5" w:rsidRPr="00DE33D5" w:rsidRDefault="00DE33D5" w:rsidP="00DE33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473DD36C" w14:textId="310324CD" w:rsidR="00581B73" w:rsidRDefault="00581B73" w:rsidP="00581B73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</w:rPr>
      </w:pPr>
    </w:p>
    <w:p w14:paraId="3F773F12" w14:textId="77777777" w:rsidR="00A41068" w:rsidRDefault="00A41068">
      <w:pPr>
        <w:spacing w:line="480" w:lineRule="auto"/>
        <w:rPr>
          <w:rFonts w:ascii="Times New Roman" w:eastAsia="Times New Roman" w:hAnsi="Times New Roman" w:cs="Times New Roman"/>
          <w:b/>
          <w:highlight w:val="white"/>
        </w:rPr>
      </w:pPr>
    </w:p>
    <w:p w14:paraId="63BD9687" w14:textId="3B5EF8B2" w:rsidR="004701C0" w:rsidRPr="00425694" w:rsidRDefault="000B5050">
      <w:pPr>
        <w:spacing w:line="480" w:lineRule="auto"/>
        <w:rPr>
          <w:rFonts w:ascii="Times New Roman" w:eastAsia="Times New Roman" w:hAnsi="Times New Roman" w:cs="Times New Roman"/>
          <w:bCs/>
          <w:i/>
          <w:iCs/>
        </w:rPr>
      </w:pPr>
      <w:r w:rsidRPr="00425694">
        <w:rPr>
          <w:rFonts w:ascii="Times New Roman" w:eastAsia="Times New Roman" w:hAnsi="Times New Roman" w:cs="Times New Roman"/>
          <w:bCs/>
          <w:i/>
          <w:iCs/>
        </w:rPr>
        <w:t>Covariates</w:t>
      </w:r>
    </w:p>
    <w:p w14:paraId="5A520AC3" w14:textId="3C578AA8" w:rsidR="00581B73" w:rsidRDefault="00FF1FBE" w:rsidP="00025BC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controlled for respondent income, gender/sex, education, age</w:t>
      </w:r>
      <w:r w:rsidR="001A23E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race and whether the father was </w:t>
      </w:r>
      <w:r w:rsidR="006B34FE">
        <w:rPr>
          <w:rFonts w:ascii="Times New Roman" w:eastAsia="Times New Roman" w:hAnsi="Times New Roman" w:cs="Times New Roman"/>
        </w:rPr>
        <w:t>physically close (within an hour)</w:t>
      </w:r>
      <w:r>
        <w:rPr>
          <w:rFonts w:ascii="Times New Roman" w:eastAsia="Times New Roman" w:hAnsi="Times New Roman" w:cs="Times New Roman"/>
        </w:rPr>
        <w:t>.</w:t>
      </w:r>
      <w:r w:rsidR="006B34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Various events in life affect the size, and quality, of people’s social networks. For example, getting married has the effect </w:t>
      </w:r>
      <w:r w:rsidR="001A23E5"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generating new kin ties, but also tends to </w:t>
      </w:r>
      <w:r>
        <w:rPr>
          <w:rFonts w:ascii="Times New Roman" w:eastAsia="Times New Roman" w:hAnsi="Times New Roman" w:cs="Times New Roman"/>
          <w:i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 xml:space="preserve">the amount of interaction people spend with kin. Losing a wife/husband tends to have the opposite consequence, where people will tend to lose kin but interact </w:t>
      </w:r>
      <w:r>
        <w:rPr>
          <w:rFonts w:ascii="Times New Roman" w:eastAsia="Times New Roman" w:hAnsi="Times New Roman" w:cs="Times New Roman"/>
          <w:i/>
        </w:rPr>
        <w:t>more</w:t>
      </w:r>
      <w:r>
        <w:rPr>
          <w:rFonts w:ascii="Times New Roman" w:eastAsia="Times New Roman" w:hAnsi="Times New Roman" w:cs="Times New Roman"/>
        </w:rPr>
        <w:t xml:space="preserve"> with remaining kin (Gerstel and Sarkisian, 2006; </w:t>
      </w:r>
      <w:proofErr w:type="spellStart"/>
      <w:r>
        <w:rPr>
          <w:rFonts w:ascii="Times New Roman" w:eastAsia="Times New Roman" w:hAnsi="Times New Roman" w:cs="Times New Roman"/>
        </w:rPr>
        <w:t>Kalmijn</w:t>
      </w:r>
      <w:proofErr w:type="spellEnd"/>
      <w:r>
        <w:rPr>
          <w:rFonts w:ascii="Times New Roman" w:eastAsia="Times New Roman" w:hAnsi="Times New Roman" w:cs="Times New Roman"/>
        </w:rPr>
        <w:t xml:space="preserve">, Graaf, 2012; </w:t>
      </w:r>
      <w:proofErr w:type="spellStart"/>
      <w:r>
        <w:rPr>
          <w:rFonts w:ascii="Times New Roman" w:eastAsia="Times New Roman" w:hAnsi="Times New Roman" w:cs="Times New Roman"/>
        </w:rPr>
        <w:t>Guiaux</w:t>
      </w:r>
      <w:proofErr w:type="spellEnd"/>
      <w:r>
        <w:rPr>
          <w:rFonts w:ascii="Times New Roman" w:eastAsia="Times New Roman" w:hAnsi="Times New Roman" w:cs="Times New Roman"/>
        </w:rPr>
        <w:t xml:space="preserve">, et al., 2007). Lastly, we included variables </w:t>
      </w:r>
      <w:r w:rsidR="001A23E5"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</w:rPr>
        <w:t xml:space="preserve"> may inhibit or influence network size and quality as controls. These included events like a recent </w:t>
      </w:r>
      <w:r w:rsidR="00581B73">
        <w:rPr>
          <w:rFonts w:ascii="Times New Roman" w:eastAsia="Times New Roman" w:hAnsi="Times New Roman" w:cs="Times New Roman"/>
        </w:rPr>
        <w:t>new job</w:t>
      </w:r>
      <w:r>
        <w:rPr>
          <w:rFonts w:ascii="Times New Roman" w:eastAsia="Times New Roman" w:hAnsi="Times New Roman" w:cs="Times New Roman"/>
        </w:rPr>
        <w:t xml:space="preserve"> and/or a new baby</w:t>
      </w:r>
      <w:r w:rsidR="00581B73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81B73">
        <w:rPr>
          <w:rFonts w:ascii="Times New Roman" w:eastAsia="Times New Roman" w:hAnsi="Times New Roman" w:cs="Times New Roman"/>
        </w:rPr>
        <w:t>Wruz</w:t>
      </w:r>
      <w:proofErr w:type="spellEnd"/>
      <w:r w:rsidR="00581B73">
        <w:rPr>
          <w:rFonts w:ascii="Times New Roman" w:eastAsia="Times New Roman" w:hAnsi="Times New Roman" w:cs="Times New Roman"/>
        </w:rPr>
        <w:t>, et al, 2013)</w:t>
      </w:r>
      <w:r>
        <w:rPr>
          <w:rFonts w:ascii="Times New Roman" w:eastAsia="Times New Roman" w:hAnsi="Times New Roman" w:cs="Times New Roman"/>
        </w:rPr>
        <w:t xml:space="preserve">. </w:t>
      </w:r>
    </w:p>
    <w:tbl>
      <w:tblPr>
        <w:tblW w:w="5460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2650"/>
        <w:gridCol w:w="546"/>
        <w:gridCol w:w="2329"/>
        <w:gridCol w:w="222"/>
      </w:tblGrid>
      <w:tr w:rsidR="00025BC3" w:rsidRPr="00025BC3" w14:paraId="071B66FA" w14:textId="77777777" w:rsidTr="00025BC3">
        <w:trPr>
          <w:gridAfter w:val="1"/>
          <w:wAfter w:w="6" w:type="dxa"/>
          <w:trHeight w:val="900"/>
          <w:jc w:val="center"/>
        </w:trPr>
        <w:tc>
          <w:tcPr>
            <w:tcW w:w="545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7A9C5F0" w14:textId="6BB96A19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Table 1B: Cross-Tabulations Number of Respondents in Father Named and/or Close Categories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(Sons and Daughters)</w:t>
            </w: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by Average Amount of Social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Interaction</w:t>
            </w: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Ties</w:t>
            </w:r>
          </w:p>
        </w:tc>
      </w:tr>
      <w:tr w:rsidR="00025BC3" w:rsidRPr="00025BC3" w14:paraId="0C939CCB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A3B25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BC85E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FD29464" w14:textId="10E5EF2B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Social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Interaction </w:t>
            </w: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Ties</w:t>
            </w:r>
          </w:p>
        </w:tc>
      </w:tr>
      <w:tr w:rsidR="00025BC3" w:rsidRPr="00025BC3" w14:paraId="12B9EAB9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2D0C5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Father Not Named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D1D0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247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D89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4.70</w:t>
            </w:r>
          </w:p>
        </w:tc>
      </w:tr>
      <w:tr w:rsidR="00025BC3" w:rsidRPr="00025BC3" w14:paraId="0A32184C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68B1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Daughters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B99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165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9007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4.72</w:t>
            </w:r>
          </w:p>
        </w:tc>
      </w:tr>
      <w:tr w:rsidR="00025BC3" w:rsidRPr="00025BC3" w14:paraId="26FDCBA7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DAD536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Sons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324E17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AB3BA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4.67</w:t>
            </w:r>
          </w:p>
        </w:tc>
      </w:tr>
      <w:tr w:rsidR="00025BC3" w:rsidRPr="00025BC3" w14:paraId="09C9B4A5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17A7A6A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Father Not Close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2FEB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147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0424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4.83</w:t>
            </w:r>
          </w:p>
        </w:tc>
      </w:tr>
      <w:tr w:rsidR="00025BC3" w:rsidRPr="00025BC3" w14:paraId="2CD37571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E713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Daughters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822A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104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834A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5.40</w:t>
            </w:r>
          </w:p>
        </w:tc>
      </w:tr>
      <w:tr w:rsidR="00025BC3" w:rsidRPr="00025BC3" w14:paraId="2EF445B3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D356F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Sons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7C4CE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43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5F8BD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4.83</w:t>
            </w:r>
          </w:p>
        </w:tc>
      </w:tr>
      <w:tr w:rsidR="00025BC3" w:rsidRPr="00025BC3" w14:paraId="776010F8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2B21A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Father Close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73A1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198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956B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6.05</w:t>
            </w:r>
          </w:p>
        </w:tc>
      </w:tr>
      <w:tr w:rsidR="00025BC3" w:rsidRPr="00025BC3" w14:paraId="1C70E27D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F7E6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Daughters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0B80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D1EB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6.00</w:t>
            </w:r>
          </w:p>
        </w:tc>
      </w:tr>
      <w:tr w:rsidR="00025BC3" w:rsidRPr="00025BC3" w14:paraId="2C244C68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D9F24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Sons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EF7B9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277A1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6.10</w:t>
            </w:r>
          </w:p>
        </w:tc>
      </w:tr>
      <w:tr w:rsidR="00025BC3" w:rsidRPr="00025BC3" w14:paraId="6CA81221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4016F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All Respondents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B605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592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CE95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5.19</w:t>
            </w:r>
          </w:p>
        </w:tc>
      </w:tr>
      <w:tr w:rsidR="00025BC3" w:rsidRPr="00025BC3" w14:paraId="7D1DBECB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5A54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Daughters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F000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391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25A4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5.25</w:t>
            </w:r>
          </w:p>
        </w:tc>
      </w:tr>
      <w:tr w:rsidR="00025BC3" w:rsidRPr="00025BC3" w14:paraId="67F3CB35" w14:textId="77777777" w:rsidTr="00025BC3">
        <w:trPr>
          <w:gridAfter w:val="1"/>
          <w:wAfter w:w="6" w:type="dxa"/>
          <w:trHeight w:val="420"/>
          <w:jc w:val="center"/>
        </w:trPr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D771E" w14:textId="77777777" w:rsidR="00025BC3" w:rsidRPr="00025BC3" w:rsidRDefault="00025BC3" w:rsidP="00025BC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Sons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FA006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758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AF634" w14:textId="77777777" w:rsidR="00025BC3" w:rsidRPr="00025BC3" w:rsidRDefault="00025BC3" w:rsidP="0002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5.13</w:t>
            </w:r>
          </w:p>
        </w:tc>
      </w:tr>
      <w:tr w:rsidR="00025BC3" w:rsidRPr="00025BC3" w14:paraId="19233FB8" w14:textId="77777777" w:rsidTr="00025BC3">
        <w:trPr>
          <w:gridAfter w:val="1"/>
          <w:wAfter w:w="6" w:type="dxa"/>
          <w:trHeight w:val="264"/>
          <w:jc w:val="center"/>
        </w:trPr>
        <w:tc>
          <w:tcPr>
            <w:tcW w:w="545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79170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25BC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Note: This sample contains all respondents who reported having a father who was alive and/or present in their lives in some capacity. The above presents unweighted N counts alongside weighted case means.</w:t>
            </w:r>
          </w:p>
        </w:tc>
      </w:tr>
      <w:tr w:rsidR="00025BC3" w:rsidRPr="00025BC3" w14:paraId="125E269B" w14:textId="77777777" w:rsidTr="00025BC3">
        <w:trPr>
          <w:trHeight w:val="840"/>
          <w:jc w:val="center"/>
        </w:trPr>
        <w:tc>
          <w:tcPr>
            <w:tcW w:w="545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03B00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61F1" w14:textId="77777777" w:rsidR="00025BC3" w:rsidRPr="00025BC3" w:rsidRDefault="00025BC3" w:rsidP="00025BC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0AB47ABC" w14:textId="77777777" w:rsidR="000B5050" w:rsidRDefault="000B5050">
      <w:pPr>
        <w:spacing w:line="480" w:lineRule="auto"/>
        <w:rPr>
          <w:rFonts w:ascii="Times New Roman" w:eastAsia="Times New Roman" w:hAnsi="Times New Roman" w:cs="Times New Roman"/>
          <w:b/>
          <w:highlight w:val="white"/>
        </w:rPr>
      </w:pPr>
    </w:p>
    <w:p w14:paraId="20069E80" w14:textId="182B367F" w:rsidR="004701C0" w:rsidRDefault="000B5050">
      <w:pPr>
        <w:spacing w:line="48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Methods</w:t>
      </w:r>
    </w:p>
    <w:p w14:paraId="6AE375E1" w14:textId="7DCA0BE0" w:rsidR="0048287A" w:rsidRDefault="00FF1FBE" w:rsidP="00581B7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Because of categorical independent variables, </w:t>
      </w:r>
      <w:bookmarkStart w:id="1" w:name="_Hlk70795341"/>
      <w:r w:rsidR="00E84D2F"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</w:rPr>
        <w:t xml:space="preserve"> used </w:t>
      </w:r>
      <w:r w:rsidR="00E84D2F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General Linear Model (GLM) </w:t>
      </w:r>
      <w:r w:rsidR="00642903">
        <w:rPr>
          <w:rFonts w:ascii="Times New Roman" w:eastAsia="Times New Roman" w:hAnsi="Times New Roman" w:cs="Times New Roman"/>
        </w:rPr>
        <w:t>(also known as UNIANOVA</w:t>
      </w:r>
      <w:r w:rsidR="00E84D2F">
        <w:rPr>
          <w:rFonts w:ascii="Times New Roman" w:eastAsia="Times New Roman" w:hAnsi="Times New Roman" w:cs="Times New Roman"/>
        </w:rPr>
        <w:t xml:space="preserve"> in SPSS</w:t>
      </w:r>
      <w:r w:rsidR="00642903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instead of a normal linear regression due to its ability to incorporate categorical and continuous variables into one output easily. </w:t>
      </w:r>
      <w:r w:rsidR="00581B73">
        <w:rPr>
          <w:rFonts w:ascii="Times New Roman" w:eastAsia="Times New Roman" w:hAnsi="Times New Roman" w:cs="Times New Roman"/>
        </w:rPr>
        <w:t xml:space="preserve">This model is, however, mathematically </w:t>
      </w:r>
      <w:proofErr w:type="gramStart"/>
      <w:r w:rsidR="00581B73">
        <w:rPr>
          <w:rFonts w:ascii="Times New Roman" w:eastAsia="Times New Roman" w:hAnsi="Times New Roman" w:cs="Times New Roman"/>
        </w:rPr>
        <w:lastRenderedPageBreak/>
        <w:t>similar to</w:t>
      </w:r>
      <w:proofErr w:type="gramEnd"/>
      <w:r w:rsidR="00581B73">
        <w:rPr>
          <w:rFonts w:ascii="Times New Roman" w:eastAsia="Times New Roman" w:hAnsi="Times New Roman" w:cs="Times New Roman"/>
        </w:rPr>
        <w:t xml:space="preserve"> linear regression. </w:t>
      </w:r>
      <w:r>
        <w:rPr>
          <w:rFonts w:ascii="Times New Roman" w:eastAsia="Times New Roman" w:hAnsi="Times New Roman" w:cs="Times New Roman"/>
        </w:rPr>
        <w:t>Essentially, this model takes the highest</w:t>
      </w:r>
      <w:r w:rsidR="001A23E5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numbered category </w:t>
      </w:r>
      <w:r w:rsidR="00581B73">
        <w:rPr>
          <w:rFonts w:ascii="Times New Roman" w:eastAsia="Times New Roman" w:hAnsi="Times New Roman" w:cs="Times New Roman"/>
        </w:rPr>
        <w:t>and treats it as the reference category</w:t>
      </w:r>
      <w:r>
        <w:rPr>
          <w:rFonts w:ascii="Times New Roman" w:eastAsia="Times New Roman" w:hAnsi="Times New Roman" w:cs="Times New Roman"/>
        </w:rPr>
        <w:t xml:space="preserve"> </w:t>
      </w:r>
      <w:r w:rsidR="00581B73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>compare</w:t>
      </w:r>
      <w:r w:rsidR="00581B73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each category below it independently</w:t>
      </w:r>
      <w:bookmarkEnd w:id="1"/>
      <w:r>
        <w:rPr>
          <w:rFonts w:ascii="Times New Roman" w:eastAsia="Times New Roman" w:hAnsi="Times New Roman" w:cs="Times New Roman"/>
        </w:rPr>
        <w:t xml:space="preserve"> (2 compared to 1 and 2 compared to 0). Effectively, this converts the categorical variable into two dummy variables. In more concrete terms, this model will allow us to observe whether having a father in the network is significant in producing a more robust social network or whether he must also be “close.” </w:t>
      </w:r>
    </w:p>
    <w:p w14:paraId="38CB10C1" w14:textId="35E0F1E4" w:rsidR="000E02D3" w:rsidRPr="00581B73" w:rsidRDefault="000E02D3" w:rsidP="00581B7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It’</w:t>
      </w:r>
      <w:r w:rsidR="00D06F4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important to mention that these models were designed around the father</w:t>
      </w:r>
      <w:r w:rsidR="00D06F4C">
        <w:rPr>
          <w:rFonts w:ascii="Times New Roman" w:eastAsia="Times New Roman" w:hAnsi="Times New Roman" w:cs="Times New Roman"/>
        </w:rPr>
        <w:t xml:space="preserve">. </w:t>
      </w:r>
      <w:r w:rsidR="00E84D2F">
        <w:rPr>
          <w:rFonts w:ascii="Times New Roman" w:eastAsia="Times New Roman" w:hAnsi="Times New Roman" w:cs="Times New Roman"/>
        </w:rPr>
        <w:t>We</w:t>
      </w:r>
      <w:r w:rsidR="00D06F4C">
        <w:rPr>
          <w:rFonts w:ascii="Times New Roman" w:eastAsia="Times New Roman" w:hAnsi="Times New Roman" w:cs="Times New Roman"/>
        </w:rPr>
        <w:t xml:space="preserve"> </w:t>
      </w:r>
      <w:r w:rsidR="00952077">
        <w:rPr>
          <w:rFonts w:ascii="Times New Roman" w:eastAsia="Times New Roman" w:hAnsi="Times New Roman" w:cs="Times New Roman"/>
        </w:rPr>
        <w:t>selected respondents</w:t>
      </w:r>
      <w:r w:rsidR="00D06F4C">
        <w:rPr>
          <w:rFonts w:ascii="Times New Roman" w:eastAsia="Times New Roman" w:hAnsi="Times New Roman" w:cs="Times New Roman"/>
        </w:rPr>
        <w:t xml:space="preserve"> who reported having a </w:t>
      </w:r>
      <w:r w:rsidR="00D06F4C" w:rsidRPr="00D06F4C">
        <w:rPr>
          <w:rFonts w:ascii="Times New Roman" w:eastAsia="Times New Roman" w:hAnsi="Times New Roman" w:cs="Times New Roman"/>
          <w:i/>
          <w:iCs/>
        </w:rPr>
        <w:t>father</w:t>
      </w:r>
      <w:r w:rsidR="00D06F4C">
        <w:rPr>
          <w:rFonts w:ascii="Times New Roman" w:eastAsia="Times New Roman" w:hAnsi="Times New Roman" w:cs="Times New Roman"/>
        </w:rPr>
        <w:t xml:space="preserve"> who was alive and controlled for the </w:t>
      </w:r>
      <w:r w:rsidR="00D06F4C" w:rsidRPr="00D06F4C">
        <w:rPr>
          <w:rFonts w:ascii="Times New Roman" w:eastAsia="Times New Roman" w:hAnsi="Times New Roman" w:cs="Times New Roman"/>
          <w:i/>
          <w:iCs/>
        </w:rPr>
        <w:t>father’s</w:t>
      </w:r>
      <w:r w:rsidR="00D06F4C">
        <w:rPr>
          <w:rFonts w:ascii="Times New Roman" w:eastAsia="Times New Roman" w:hAnsi="Times New Roman" w:cs="Times New Roman"/>
        </w:rPr>
        <w:t xml:space="preserve"> distance from the respondent</w:t>
      </w:r>
      <w:r w:rsidR="00E84D2F">
        <w:rPr>
          <w:rFonts w:ascii="Times New Roman" w:eastAsia="Times New Roman" w:hAnsi="Times New Roman" w:cs="Times New Roman"/>
        </w:rPr>
        <w:t xml:space="preserve">; </w:t>
      </w:r>
      <w:r w:rsidR="00642903">
        <w:rPr>
          <w:rFonts w:ascii="Times New Roman" w:eastAsia="Times New Roman" w:hAnsi="Times New Roman" w:cs="Times New Roman"/>
        </w:rPr>
        <w:t>the same was not done for mothers</w:t>
      </w:r>
      <w:r w:rsidR="00D06F4C">
        <w:rPr>
          <w:rFonts w:ascii="Times New Roman" w:eastAsia="Times New Roman" w:hAnsi="Times New Roman" w:cs="Times New Roman"/>
        </w:rPr>
        <w:t xml:space="preserve">. For this reason, </w:t>
      </w:r>
      <w:r w:rsidR="00642903">
        <w:rPr>
          <w:rFonts w:ascii="Times New Roman" w:eastAsia="Times New Roman" w:hAnsi="Times New Roman" w:cs="Times New Roman"/>
        </w:rPr>
        <w:t xml:space="preserve">results </w:t>
      </w:r>
      <w:r w:rsidR="00096A52">
        <w:rPr>
          <w:rFonts w:ascii="Times New Roman" w:eastAsia="Times New Roman" w:hAnsi="Times New Roman" w:cs="Times New Roman"/>
        </w:rPr>
        <w:t>will be presented primarily around the “Close Father” variable.</w:t>
      </w:r>
    </w:p>
    <w:p w14:paraId="18176610" w14:textId="3651CBFA" w:rsidR="004701C0" w:rsidRPr="00453077" w:rsidRDefault="004701C0" w:rsidP="00453077">
      <w:pPr>
        <w:jc w:val="center"/>
      </w:pPr>
    </w:p>
    <w:sectPr w:rsidR="004701C0" w:rsidRPr="004530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95A3" w14:textId="77777777" w:rsidR="00873520" w:rsidRDefault="00873520" w:rsidP="00854D9B">
      <w:pPr>
        <w:spacing w:line="240" w:lineRule="auto"/>
      </w:pPr>
      <w:r>
        <w:separator/>
      </w:r>
    </w:p>
  </w:endnote>
  <w:endnote w:type="continuationSeparator" w:id="0">
    <w:p w14:paraId="4EE61420" w14:textId="77777777" w:rsidR="00873520" w:rsidRDefault="00873520" w:rsidP="00854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78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72E4A" w14:textId="5C24A1E0" w:rsidR="00277701" w:rsidRDefault="00277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7B5EA7" w14:textId="77777777" w:rsidR="00277701" w:rsidRDefault="00277701" w:rsidP="004256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6FF0" w14:textId="77777777" w:rsidR="00873520" w:rsidRDefault="00873520" w:rsidP="00854D9B">
      <w:pPr>
        <w:spacing w:line="240" w:lineRule="auto"/>
      </w:pPr>
      <w:r>
        <w:separator/>
      </w:r>
    </w:p>
  </w:footnote>
  <w:footnote w:type="continuationSeparator" w:id="0">
    <w:p w14:paraId="4335FD98" w14:textId="77777777" w:rsidR="00873520" w:rsidRDefault="00873520" w:rsidP="00854D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9EDC" w14:textId="28690622" w:rsidR="00277701" w:rsidRPr="00425694" w:rsidRDefault="00277701" w:rsidP="00854D9B">
    <w:pPr>
      <w:rPr>
        <w:rFonts w:asciiTheme="majorHAnsi" w:hAnsiTheme="majorHAnsi" w:cstheme="majorHAnsi"/>
      </w:rPr>
    </w:pPr>
    <w:r w:rsidRPr="00425694">
      <w:rPr>
        <w:rFonts w:asciiTheme="majorHAnsi" w:hAnsiTheme="majorHAnsi" w:cstheme="majorHAnsi"/>
      </w:rPr>
      <w:t>Father Connection &amp; Support in Adulthood</w:t>
    </w:r>
  </w:p>
  <w:p w14:paraId="1BABE5A9" w14:textId="0774F576" w:rsidR="00277701" w:rsidRPr="00425694" w:rsidRDefault="00277701">
    <w:pPr>
      <w:pStyle w:val="Header"/>
      <w:rPr>
        <w:rFonts w:asciiTheme="majorHAnsi" w:hAnsiTheme="majorHAnsi" w:cstheme="majorHAnsi"/>
      </w:rPr>
    </w:pPr>
    <w:r w:rsidRPr="00425694">
      <w:rPr>
        <w:rFonts w:asciiTheme="majorHAnsi" w:hAnsiTheme="majorHAnsi" w:cstheme="majorHAnsi"/>
      </w:rPr>
      <w:t>PAA 2021 Submission</w:t>
    </w:r>
  </w:p>
  <w:p w14:paraId="140F9C8F" w14:textId="77777777" w:rsidR="00277701" w:rsidRDefault="00277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30CB"/>
    <w:multiLevelType w:val="hybridMultilevel"/>
    <w:tmpl w:val="D244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06F5"/>
    <w:multiLevelType w:val="hybridMultilevel"/>
    <w:tmpl w:val="ACB296BC"/>
    <w:lvl w:ilvl="0" w:tplc="238C2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C0"/>
    <w:rsid w:val="00025BC3"/>
    <w:rsid w:val="000817F8"/>
    <w:rsid w:val="00096A52"/>
    <w:rsid w:val="000B5050"/>
    <w:rsid w:val="000E02D3"/>
    <w:rsid w:val="000F0D98"/>
    <w:rsid w:val="0010633D"/>
    <w:rsid w:val="00116E90"/>
    <w:rsid w:val="00137037"/>
    <w:rsid w:val="00164AC8"/>
    <w:rsid w:val="001A23E5"/>
    <w:rsid w:val="001A2514"/>
    <w:rsid w:val="0022412F"/>
    <w:rsid w:val="00247A25"/>
    <w:rsid w:val="00250FE1"/>
    <w:rsid w:val="00277701"/>
    <w:rsid w:val="002959DD"/>
    <w:rsid w:val="002965E7"/>
    <w:rsid w:val="002E560E"/>
    <w:rsid w:val="00312035"/>
    <w:rsid w:val="003206EB"/>
    <w:rsid w:val="003A08F6"/>
    <w:rsid w:val="00425694"/>
    <w:rsid w:val="00452123"/>
    <w:rsid w:val="00453077"/>
    <w:rsid w:val="00457DB8"/>
    <w:rsid w:val="004701C0"/>
    <w:rsid w:val="0048287A"/>
    <w:rsid w:val="0052671B"/>
    <w:rsid w:val="00574707"/>
    <w:rsid w:val="00581B73"/>
    <w:rsid w:val="00602B34"/>
    <w:rsid w:val="00636E71"/>
    <w:rsid w:val="00642903"/>
    <w:rsid w:val="006B34FE"/>
    <w:rsid w:val="006B75DA"/>
    <w:rsid w:val="006C1E90"/>
    <w:rsid w:val="006D3E95"/>
    <w:rsid w:val="0070583E"/>
    <w:rsid w:val="0071719C"/>
    <w:rsid w:val="0075149A"/>
    <w:rsid w:val="00797A3E"/>
    <w:rsid w:val="00812E61"/>
    <w:rsid w:val="00854D9B"/>
    <w:rsid w:val="00873520"/>
    <w:rsid w:val="008909AF"/>
    <w:rsid w:val="008D21EC"/>
    <w:rsid w:val="00907B40"/>
    <w:rsid w:val="00912155"/>
    <w:rsid w:val="00921AC6"/>
    <w:rsid w:val="0094324F"/>
    <w:rsid w:val="00952077"/>
    <w:rsid w:val="00A41068"/>
    <w:rsid w:val="00A472EF"/>
    <w:rsid w:val="00A5487F"/>
    <w:rsid w:val="00A62D8B"/>
    <w:rsid w:val="00A95E14"/>
    <w:rsid w:val="00AF1C3A"/>
    <w:rsid w:val="00B75BCB"/>
    <w:rsid w:val="00C94841"/>
    <w:rsid w:val="00CF43F3"/>
    <w:rsid w:val="00D06F4C"/>
    <w:rsid w:val="00D60B0D"/>
    <w:rsid w:val="00DC416F"/>
    <w:rsid w:val="00DE33D5"/>
    <w:rsid w:val="00E16520"/>
    <w:rsid w:val="00E23E76"/>
    <w:rsid w:val="00E47FEF"/>
    <w:rsid w:val="00E84D2F"/>
    <w:rsid w:val="00F10DB4"/>
    <w:rsid w:val="00F37689"/>
    <w:rsid w:val="00FF0891"/>
    <w:rsid w:val="00F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4FBA"/>
  <w15:docId w15:val="{EDE78AAC-8E91-46DE-A989-58ED4F1E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0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0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D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B"/>
  </w:style>
  <w:style w:type="paragraph" w:styleId="Footer">
    <w:name w:val="footer"/>
    <w:basedOn w:val="Normal"/>
    <w:link w:val="FooterChar"/>
    <w:uiPriority w:val="99"/>
    <w:unhideWhenUsed/>
    <w:rsid w:val="00854D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B"/>
  </w:style>
  <w:style w:type="character" w:styleId="Hyperlink">
    <w:name w:val="Hyperlink"/>
    <w:basedOn w:val="DefaultParagraphFont"/>
    <w:uiPriority w:val="99"/>
    <w:unhideWhenUsed/>
    <w:rsid w:val="006B7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cnets.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Soria</dc:creator>
  <cp:lastModifiedBy>Chris Soria</cp:lastModifiedBy>
  <cp:revision>6</cp:revision>
  <dcterms:created xsi:type="dcterms:W3CDTF">2022-01-30T22:30:00Z</dcterms:created>
  <dcterms:modified xsi:type="dcterms:W3CDTF">2022-01-30T23:38:00Z</dcterms:modified>
</cp:coreProperties>
</file>