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Methods and Parameter Information for RATIO-DIA</w:t>
      </w:r>
    </w:p>
    <w:p>
      <w:pPr>
        <w:jc w:val="center"/>
      </w:pPr>
      <w:r>
        <w:rPr>
          <w:i/>
          <w:color w:val="595959"/>
          <w:sz w:val="18"/>
        </w:rPr>
        <w:t>Version 0.5.0 | manuscript-consistent implementation</w:t>
      </w:r>
    </w:p>
    <w:p>
      <w:pPr>
        <w:pStyle w:val="Heading1"/>
      </w:pPr>
      <w:r>
        <w:t>S1. Input data and initial spectral graph</w:t>
      </w:r>
    </w:p>
    <w:p>
      <w:pPr>
        <w:pStyle w:val="BodyText"/>
      </w:pPr>
      <w:r>
        <w:t>Centroided DIA-MS/MS spectra were exported in MGF format, with each SCANS identifier matched to the feature Alignment ID in the abundance table. After feature alignment, 924 precursor features were retained. Pairwise spectral similarity was evaluated by modified cosine matching using a fragment mass tolerance of 0.01 Da. An original spectral edge was retained when the modified cosine score was at least 0.70 and at least six fragment-ion pairs were matched. This produced 15,417 original similarity edges. The 878 nodes incident to at least one retained edge were used as the fixed input for module construction; the remaining 46 aligned features were recorded as isolated and were not introduced into partition optimization.</w:t>
      </w:r>
    </w:p>
    <w:p>
      <w:pPr>
        <w:pStyle w:val="Heading1"/>
      </w:pPr>
      <w:r>
        <w:t>S2. Orthogonal fragmentation and topology evidence</w:t>
      </w:r>
    </w:p>
    <w:p>
      <w:pPr>
        <w:pStyle w:val="BodyText"/>
      </w:pPr>
      <w:r>
        <w:t>For each spectrum, product ions below m/z 50 or above the precursor mass plus 1 Da were removed. Peaks with relative intensity below 0.5% of the maximum spectral intensity were discarded, and fragment masses were discretized into 0.02-Da bins.</w:t>
      </w:r>
    </w:p>
    <w:p>
      <w:pPr>
        <w:pStyle w:val="BodyText"/>
      </w:pPr>
      <w:r>
        <w:t>Single-fragment evidence was represented by binary TF-IDF vectors after retaining at most the 100 most intense filtered peaks per spectrum. Fragment bins observed in fewer than two spectra or in more than 60% of the input spectra were excluded. Cosine similarity between the resulting TF-IDF vectors defined the single-fragment similarity.</w:t>
      </w:r>
    </w:p>
    <w:p>
      <w:pPr>
        <w:pStyle w:val="BodyText"/>
      </w:pPr>
      <w:r>
        <w:t>Fragment-pair evidence was constructed from unordered pairs of co-occurring fragment bins after retaining at most the 40 most intense filtered peaks per spectrum. Fragment-pair features observed in fewer than two spectra or in more than 20% of the input spectra were excluded. Cosine similarity between the fragment-pair TF-IDF vectors defined the co-occurrence similarity. In the reported dataset, 3,090 single-fragment features and 79,759 fragment-pair features passed these filters.</w:t>
      </w:r>
    </w:p>
    <w:p>
      <w:pPr>
        <w:pStyle w:val="BodyText"/>
      </w:pPr>
      <w:r>
        <w:t>Local topological support was calculated for every original spectral edge using a weighted closed-neighborhood edge-clustering value (ECV). ECV values were converted to percentile ranks, denoted Qij, to place topology evidence on a common scale.</w:t>
      </w:r>
    </w:p>
    <w:p>
      <w:pPr>
        <w:pStyle w:val="Heading1"/>
      </w:pPr>
      <w:r>
        <w:t>S3. Evidence integration and motif-neighborhood augmentation</w:t>
      </w:r>
    </w:p>
    <w:p>
      <w:pPr>
        <w:pStyle w:val="BodyText"/>
      </w:pPr>
      <w:r>
        <w:t>The integrated fragmentation-pattern similarity combined single-fragment and fragment-pair evidence as follows:</w:t>
      </w:r>
    </w:p>
    <w:p>
      <w:pPr>
        <w:jc w:val="center"/>
      </w:pPr>
      <w:r>
        <w:rPr>
          <w:rFonts w:ascii="Cambria Math" w:hAnsi="Cambria Math"/>
          <w:i/>
          <w:sz w:val="21"/>
        </w:rPr>
        <w:t>Mij = (1 - wp) × Singleij + wp × Pairij</w:t>
      </w:r>
    </w:p>
    <w:p>
      <w:pPr>
        <w:pStyle w:val="BodyText"/>
      </w:pPr>
      <w:r>
        <w:t>where wp is the contribution assigned to fragment-pair co-occurrence. The base weight of an original modified-cosine edge was calculated as:</w:t>
      </w:r>
    </w:p>
    <w:p>
      <w:pPr>
        <w:jc w:val="center"/>
      </w:pPr>
      <w:r>
        <w:rPr>
          <w:rFonts w:ascii="Cambria Math" w:hAnsi="Cambria Math"/>
          <w:i/>
          <w:sz w:val="21"/>
        </w:rPr>
        <w:t>Wbase,ij = Sij [f0 + (1 - f0)Mij] [t0 + (1 - t0)Qij]</w:t>
      </w:r>
    </w:p>
    <w:p>
      <w:pPr>
        <w:pStyle w:val="BodyText"/>
      </w:pPr>
      <w:r>
        <w:t>where Sij is the modified-cosine score, f0 is the fragmentation-evidence floor, and t0 is the topology-evidence floor. Positive floors retained weak but non-zero orthogonal evidence.</w:t>
      </w:r>
    </w:p>
    <w:p>
      <w:pPr>
        <w:pStyle w:val="BodyText"/>
      </w:pPr>
      <w:r>
        <w:t>For every node, the top-ranked integrated fragmentation relationships were selected when Mij exceeded the motif minimum. These node-wise selections were combined by union; reciprocal neighborhood membership was not required. The final relation weight was:</w:t>
      </w:r>
    </w:p>
    <w:p>
      <w:pPr>
        <w:jc w:val="center"/>
      </w:pPr>
      <w:r>
        <w:rPr>
          <w:rFonts w:ascii="Cambria Math" w:hAnsi="Cambria Math"/>
          <w:i/>
          <w:sz w:val="21"/>
        </w:rPr>
        <w:t>Wfinal,ij = I[(i,j) ∈ E0]Wbase,ij + I[(i,j) ∈ EM] βMij</w:t>
      </w:r>
    </w:p>
    <w:p>
      <w:pPr>
        <w:pStyle w:val="BodyText"/>
      </w:pPr>
      <w:r>
        <w:t>Here, E0 denotes the original modified-cosine edge set and EM the motif-neighborhood edge set. An original edge that also occurred in EM received an additive motif contribution. A previously absent motif relationship was assigned βMij and was not required to satisfy the modified-cosine or matched-fragment threshold.</w:t>
      </w:r>
    </w:p>
    <w:p>
      <w:pPr>
        <w:pStyle w:val="Heading1"/>
      </w:pPr>
      <w:r>
        <w:t>S4. Multiresolution module partition and parameter calibration</w:t>
      </w:r>
    </w:p>
    <w:p>
      <w:pPr>
        <w:pStyle w:val="BodyText"/>
      </w:pPr>
      <w:r>
        <w:t>The evidence-weighted graph was partitioned using weighted Louvain community detection. A fixed grid of 1,008 candidate settings was evaluated. Module-size constraints were applied during candidate-partition selection rather than within Louvain optimization. Candidate settings were excluded when either the largest module or the representative-feature module contained more than 100 nodes.</w:t>
      </w:r>
    </w:p>
    <w:p>
      <w:pPr>
        <w:pStyle w:val="BodyText"/>
      </w:pPr>
      <w:r>
        <w:t>Twelve representative dimer-related features were used solely for parameter calibration. Eligible partitions were ranked lexicographically by: (1) the number of representative features recovered in one module; (2) the size of that target module, favoring compactness; (3) representative-pair co-clustering; (4) the number of nodes assigned to modules containing more than 10 nodes; and (5) weighted modularity. The representative set was therefore not an independent validation set. Candidate structures, fraction abundances, and biological activity labels were not used during network construction or module selection.</w:t>
      </w:r>
    </w:p>
    <w:p>
      <w:pPr>
        <w:pStyle w:val="Heading2"/>
      </w:pPr>
      <w:r>
        <w:t>Table Sx. Fixed parameter grid and selected setting</w:t>
      </w:r>
    </w:p>
    <w:tbl>
      <w:tblPr>
        <w:tblStyle w:val="TableGrid"/>
        <w:tblW w:type="dxa" w:w="9525"/>
        <w:tblLayout w:type="fixed"/>
        <w:tblLook w:firstColumn="1" w:firstRow="1" w:lastColumn="0" w:lastRow="0" w:noHBand="0" w:noVBand="1" w:val="04A0"/>
        <w:tblInd w:type="dxa" w:w="90"/>
      </w:tblPr>
      <w:tblGrid>
        <w:gridCol w:w="3742"/>
        <w:gridCol w:w="3742"/>
        <w:gridCol w:w="2041"/>
      </w:tblGrid>
      <w:tr>
        <w:trPr>
          <w:tblHeader w:val="true"/>
        </w:trPr>
        <w:tc>
          <w:tcPr>
            <w:tcW w:type="dxa" w:w="3742"/>
            <w:shd w:fill="DCE6F1"/>
            <w:vAlign w:val="center"/>
            <w:tcMar>
              <w:top w:w="80" w:type="dxa"/>
              <w:start w:w="90" w:type="dxa"/>
              <w:bottom w:w="80" w:type="dxa"/>
              <w:end w:w="90" w:type="dxa"/>
            </w:tcMar>
          </w:tcPr>
          <w:p>
            <w:pPr>
              <w:jc w:val="center"/>
            </w:pPr>
            <w:r>
              <w:rPr>
                <w:b/>
                <w:sz w:val="16"/>
              </w:rPr>
              <w:t>Parameter</w:t>
            </w:r>
          </w:p>
        </w:tc>
        <w:tc>
          <w:tcPr>
            <w:tcW w:type="dxa" w:w="3742"/>
            <w:shd w:fill="DCE6F1"/>
            <w:vAlign w:val="center"/>
            <w:tcMar>
              <w:top w:w="80" w:type="dxa"/>
              <w:start w:w="90" w:type="dxa"/>
              <w:bottom w:w="80" w:type="dxa"/>
              <w:end w:w="90" w:type="dxa"/>
            </w:tcMar>
          </w:tcPr>
          <w:p>
            <w:pPr>
              <w:jc w:val="center"/>
            </w:pPr>
            <w:r>
              <w:rPr>
                <w:b/>
                <w:sz w:val="16"/>
              </w:rPr>
              <w:t>Search values</w:t>
            </w:r>
          </w:p>
        </w:tc>
        <w:tc>
          <w:tcPr>
            <w:tcW w:type="dxa" w:w="2041"/>
            <w:shd w:fill="DCE6F1"/>
            <w:vAlign w:val="center"/>
            <w:tcMar>
              <w:top w:w="80" w:type="dxa"/>
              <w:start w:w="90" w:type="dxa"/>
              <w:bottom w:w="80" w:type="dxa"/>
              <w:end w:w="90" w:type="dxa"/>
            </w:tcMar>
          </w:tcPr>
          <w:p>
            <w:pPr>
              <w:jc w:val="center"/>
            </w:pPr>
            <w:r>
              <w:rPr>
                <w:b/>
                <w:sz w:val="16"/>
              </w:rPr>
              <w:t>Selected</w:t>
            </w:r>
          </w:p>
        </w:tc>
      </w:tr>
      <w:tr>
        <w:trPr>
          <w:cantSplit/>
        </w:trPr>
        <w:tc>
          <w:tcPr>
            <w:tcW w:type="dxa" w:w="3742"/>
            <w:vAlign w:val="center"/>
            <w:tcMar>
              <w:top w:w="80" w:type="dxa"/>
              <w:start w:w="90" w:type="dxa"/>
              <w:bottom w:w="80" w:type="dxa"/>
              <w:end w:w="90" w:type="dxa"/>
            </w:tcMar>
          </w:tcPr>
          <w:p>
            <w:r>
              <w:rPr>
                <w:sz w:val="16"/>
              </w:rPr>
              <w:t>Fragment-pair contribution, wp</w:t>
            </w:r>
          </w:p>
        </w:tc>
        <w:tc>
          <w:tcPr>
            <w:tcW w:type="dxa" w:w="3742"/>
            <w:vAlign w:val="center"/>
            <w:tcMar>
              <w:top w:w="80" w:type="dxa"/>
              <w:start w:w="90" w:type="dxa"/>
              <w:bottom w:w="80" w:type="dxa"/>
              <w:end w:w="90" w:type="dxa"/>
            </w:tcMar>
          </w:tcPr>
          <w:p>
            <w:r>
              <w:rPr>
                <w:sz w:val="16"/>
              </w:rPr>
              <w:t>0.25, 0.50, 0.75, 0.90</w:t>
            </w:r>
          </w:p>
        </w:tc>
        <w:tc>
          <w:tcPr>
            <w:tcW w:type="dxa" w:w="2041"/>
            <w:vAlign w:val="center"/>
            <w:tcMar>
              <w:top w:w="80" w:type="dxa"/>
              <w:start w:w="90" w:type="dxa"/>
              <w:bottom w:w="80" w:type="dxa"/>
              <w:end w:w="90" w:type="dxa"/>
            </w:tcMar>
          </w:tcPr>
          <w:p>
            <w:r>
              <w:rPr>
                <w:sz w:val="16"/>
              </w:rPr>
              <w:t>0.25</w:t>
            </w:r>
          </w:p>
        </w:tc>
      </w:tr>
      <w:tr>
        <w:trPr>
          <w:cantSplit/>
        </w:trPr>
        <w:tc>
          <w:tcPr>
            <w:tcW w:type="dxa" w:w="3742"/>
            <w:vAlign w:val="center"/>
            <w:tcMar>
              <w:top w:w="80" w:type="dxa"/>
              <w:start w:w="90" w:type="dxa"/>
              <w:bottom w:w="80" w:type="dxa"/>
              <w:end w:w="90" w:type="dxa"/>
            </w:tcMar>
          </w:tcPr>
          <w:p>
            <w:r>
              <w:rPr>
                <w:sz w:val="16"/>
              </w:rPr>
              <w:t>Motif neighborhood size, K</w:t>
            </w:r>
          </w:p>
        </w:tc>
        <w:tc>
          <w:tcPr>
            <w:tcW w:type="dxa" w:w="3742"/>
            <w:vAlign w:val="center"/>
            <w:tcMar>
              <w:top w:w="80" w:type="dxa"/>
              <w:start w:w="90" w:type="dxa"/>
              <w:bottom w:w="80" w:type="dxa"/>
              <w:end w:w="90" w:type="dxa"/>
            </w:tcMar>
          </w:tcPr>
          <w:p>
            <w:r>
              <w:rPr>
                <w:sz w:val="16"/>
              </w:rPr>
              <w:t>10, 15, 20</w:t>
            </w:r>
          </w:p>
        </w:tc>
        <w:tc>
          <w:tcPr>
            <w:tcW w:type="dxa" w:w="2041"/>
            <w:vAlign w:val="center"/>
            <w:tcMar>
              <w:top w:w="80" w:type="dxa"/>
              <w:start w:w="90" w:type="dxa"/>
              <w:bottom w:w="80" w:type="dxa"/>
              <w:end w:w="90" w:type="dxa"/>
            </w:tcMar>
          </w:tcPr>
          <w:p>
            <w:r>
              <w:rPr>
                <w:sz w:val="16"/>
              </w:rPr>
              <w:t>15</w:t>
            </w:r>
          </w:p>
        </w:tc>
      </w:tr>
      <w:tr>
        <w:trPr>
          <w:cantSplit/>
        </w:trPr>
        <w:tc>
          <w:tcPr>
            <w:tcW w:type="dxa" w:w="3742"/>
            <w:vAlign w:val="center"/>
            <w:tcMar>
              <w:top w:w="80" w:type="dxa"/>
              <w:start w:w="90" w:type="dxa"/>
              <w:bottom w:w="80" w:type="dxa"/>
              <w:end w:w="90" w:type="dxa"/>
            </w:tcMar>
          </w:tcPr>
          <w:p>
            <w:r>
              <w:rPr>
                <w:sz w:val="16"/>
              </w:rPr>
              <w:t>Minimum motif similarity</w:t>
            </w:r>
          </w:p>
        </w:tc>
        <w:tc>
          <w:tcPr>
            <w:tcW w:type="dxa" w:w="3742"/>
            <w:vAlign w:val="center"/>
            <w:tcMar>
              <w:top w:w="80" w:type="dxa"/>
              <w:start w:w="90" w:type="dxa"/>
              <w:bottom w:w="80" w:type="dxa"/>
              <w:end w:w="90" w:type="dxa"/>
            </w:tcMar>
          </w:tcPr>
          <w:p>
            <w:r>
              <w:rPr>
                <w:sz w:val="16"/>
              </w:rPr>
              <w:t>0.10, 0.15, 0.20</w:t>
            </w:r>
          </w:p>
        </w:tc>
        <w:tc>
          <w:tcPr>
            <w:tcW w:type="dxa" w:w="2041"/>
            <w:vAlign w:val="center"/>
            <w:tcMar>
              <w:top w:w="80" w:type="dxa"/>
              <w:start w:w="90" w:type="dxa"/>
              <w:bottom w:w="80" w:type="dxa"/>
              <w:end w:w="90" w:type="dxa"/>
            </w:tcMar>
          </w:tcPr>
          <w:p>
            <w:r>
              <w:rPr>
                <w:sz w:val="16"/>
              </w:rPr>
              <w:t>0.10</w:t>
            </w:r>
          </w:p>
        </w:tc>
      </w:tr>
      <w:tr>
        <w:trPr>
          <w:cantSplit/>
        </w:trPr>
        <w:tc>
          <w:tcPr>
            <w:tcW w:type="dxa" w:w="3742"/>
            <w:vAlign w:val="center"/>
            <w:tcMar>
              <w:top w:w="80" w:type="dxa"/>
              <w:start w:w="90" w:type="dxa"/>
              <w:bottom w:w="80" w:type="dxa"/>
              <w:end w:w="90" w:type="dxa"/>
            </w:tcMar>
          </w:tcPr>
          <w:p>
            <w:r>
              <w:rPr>
                <w:sz w:val="16"/>
              </w:rPr>
              <w:t>Fragmentation floor, f0</w:t>
            </w:r>
          </w:p>
        </w:tc>
        <w:tc>
          <w:tcPr>
            <w:tcW w:type="dxa" w:w="3742"/>
            <w:vAlign w:val="center"/>
            <w:tcMar>
              <w:top w:w="80" w:type="dxa"/>
              <w:start w:w="90" w:type="dxa"/>
              <w:bottom w:w="80" w:type="dxa"/>
              <w:end w:w="90" w:type="dxa"/>
            </w:tcMar>
          </w:tcPr>
          <w:p>
            <w:r>
              <w:rPr>
                <w:sz w:val="16"/>
              </w:rPr>
              <w:t>0.10, 0.25</w:t>
            </w:r>
          </w:p>
        </w:tc>
        <w:tc>
          <w:tcPr>
            <w:tcW w:type="dxa" w:w="2041"/>
            <w:vAlign w:val="center"/>
            <w:tcMar>
              <w:top w:w="80" w:type="dxa"/>
              <w:start w:w="90" w:type="dxa"/>
              <w:bottom w:w="80" w:type="dxa"/>
              <w:end w:w="90" w:type="dxa"/>
            </w:tcMar>
          </w:tcPr>
          <w:p>
            <w:r>
              <w:rPr>
                <w:sz w:val="16"/>
              </w:rPr>
              <w:t>0.10</w:t>
            </w:r>
          </w:p>
        </w:tc>
      </w:tr>
      <w:tr>
        <w:trPr>
          <w:cantSplit/>
        </w:trPr>
        <w:tc>
          <w:tcPr>
            <w:tcW w:type="dxa" w:w="3742"/>
            <w:vAlign w:val="center"/>
            <w:tcMar>
              <w:top w:w="80" w:type="dxa"/>
              <w:start w:w="90" w:type="dxa"/>
              <w:bottom w:w="80" w:type="dxa"/>
              <w:end w:w="90" w:type="dxa"/>
            </w:tcMar>
          </w:tcPr>
          <w:p>
            <w:r>
              <w:rPr>
                <w:sz w:val="16"/>
              </w:rPr>
              <w:t>Topology floor, t0</w:t>
            </w:r>
          </w:p>
        </w:tc>
        <w:tc>
          <w:tcPr>
            <w:tcW w:type="dxa" w:w="3742"/>
            <w:vAlign w:val="center"/>
            <w:tcMar>
              <w:top w:w="80" w:type="dxa"/>
              <w:start w:w="90" w:type="dxa"/>
              <w:bottom w:w="80" w:type="dxa"/>
              <w:end w:w="90" w:type="dxa"/>
            </w:tcMar>
          </w:tcPr>
          <w:p>
            <w:r>
              <w:rPr>
                <w:sz w:val="16"/>
              </w:rPr>
              <w:t>Fixed</w:t>
            </w:r>
          </w:p>
        </w:tc>
        <w:tc>
          <w:tcPr>
            <w:tcW w:type="dxa" w:w="2041"/>
            <w:vAlign w:val="center"/>
            <w:tcMar>
              <w:top w:w="80" w:type="dxa"/>
              <w:start w:w="90" w:type="dxa"/>
              <w:bottom w:w="80" w:type="dxa"/>
              <w:end w:w="90" w:type="dxa"/>
            </w:tcMar>
          </w:tcPr>
          <w:p>
            <w:r>
              <w:rPr>
                <w:sz w:val="16"/>
              </w:rPr>
              <w:t>0.25</w:t>
            </w:r>
          </w:p>
        </w:tc>
      </w:tr>
      <w:tr>
        <w:trPr>
          <w:cantSplit/>
        </w:trPr>
        <w:tc>
          <w:tcPr>
            <w:tcW w:type="dxa" w:w="3742"/>
            <w:vAlign w:val="center"/>
            <w:tcMar>
              <w:top w:w="80" w:type="dxa"/>
              <w:start w:w="90" w:type="dxa"/>
              <w:bottom w:w="80" w:type="dxa"/>
              <w:end w:w="90" w:type="dxa"/>
            </w:tcMar>
          </w:tcPr>
          <w:p>
            <w:r>
              <w:rPr>
                <w:sz w:val="16"/>
              </w:rPr>
              <w:t>Motif scale, β</w:t>
            </w:r>
          </w:p>
        </w:tc>
        <w:tc>
          <w:tcPr>
            <w:tcW w:type="dxa" w:w="3742"/>
            <w:vAlign w:val="center"/>
            <w:tcMar>
              <w:top w:w="80" w:type="dxa"/>
              <w:start w:w="90" w:type="dxa"/>
              <w:bottom w:w="80" w:type="dxa"/>
              <w:end w:w="90" w:type="dxa"/>
            </w:tcMar>
          </w:tcPr>
          <w:p>
            <w:r>
              <w:rPr>
                <w:sz w:val="16"/>
              </w:rPr>
              <w:t>0.80, 1.20</w:t>
            </w:r>
          </w:p>
        </w:tc>
        <w:tc>
          <w:tcPr>
            <w:tcW w:type="dxa" w:w="2041"/>
            <w:vAlign w:val="center"/>
            <w:tcMar>
              <w:top w:w="80" w:type="dxa"/>
              <w:start w:w="90" w:type="dxa"/>
              <w:bottom w:w="80" w:type="dxa"/>
              <w:end w:w="90" w:type="dxa"/>
            </w:tcMar>
          </w:tcPr>
          <w:p>
            <w:r>
              <w:rPr>
                <w:sz w:val="16"/>
              </w:rPr>
              <w:t>0.80</w:t>
            </w:r>
          </w:p>
        </w:tc>
      </w:tr>
      <w:tr>
        <w:trPr>
          <w:cantSplit/>
        </w:trPr>
        <w:tc>
          <w:tcPr>
            <w:tcW w:type="dxa" w:w="3742"/>
            <w:vAlign w:val="center"/>
            <w:tcMar>
              <w:top w:w="80" w:type="dxa"/>
              <w:start w:w="90" w:type="dxa"/>
              <w:bottom w:w="80" w:type="dxa"/>
              <w:end w:w="90" w:type="dxa"/>
            </w:tcMar>
          </w:tcPr>
          <w:p>
            <w:r>
              <w:rPr>
                <w:sz w:val="16"/>
              </w:rPr>
              <w:t>Louvain resolution</w:t>
            </w:r>
          </w:p>
        </w:tc>
        <w:tc>
          <w:tcPr>
            <w:tcW w:type="dxa" w:w="3742"/>
            <w:vAlign w:val="center"/>
            <w:tcMar>
              <w:top w:w="80" w:type="dxa"/>
              <w:start w:w="90" w:type="dxa"/>
              <w:bottom w:w="80" w:type="dxa"/>
              <w:end w:w="90" w:type="dxa"/>
            </w:tcMar>
          </w:tcPr>
          <w:p>
            <w:r>
              <w:rPr>
                <w:sz w:val="16"/>
              </w:rPr>
              <w:t>1.50–3.00; step 0.25</w:t>
            </w:r>
          </w:p>
        </w:tc>
        <w:tc>
          <w:tcPr>
            <w:tcW w:type="dxa" w:w="2041"/>
            <w:vAlign w:val="center"/>
            <w:tcMar>
              <w:top w:w="80" w:type="dxa"/>
              <w:start w:w="90" w:type="dxa"/>
              <w:bottom w:w="80" w:type="dxa"/>
              <w:end w:w="90" w:type="dxa"/>
            </w:tcMar>
          </w:tcPr>
          <w:p>
            <w:r>
              <w:rPr>
                <w:sz w:val="16"/>
              </w:rPr>
              <w:t>2.25</w:t>
            </w:r>
          </w:p>
        </w:tc>
      </w:tr>
      <w:tr>
        <w:trPr>
          <w:cantSplit/>
        </w:trPr>
        <w:tc>
          <w:tcPr>
            <w:tcW w:type="dxa" w:w="3742"/>
            <w:vAlign w:val="center"/>
            <w:tcMar>
              <w:top w:w="80" w:type="dxa"/>
              <w:start w:w="90" w:type="dxa"/>
              <w:bottom w:w="80" w:type="dxa"/>
              <w:end w:w="90" w:type="dxa"/>
            </w:tcMar>
          </w:tcPr>
          <w:p>
            <w:r>
              <w:rPr>
                <w:sz w:val="16"/>
              </w:rPr>
              <w:t>Maximum eligible module size</w:t>
            </w:r>
          </w:p>
        </w:tc>
        <w:tc>
          <w:tcPr>
            <w:tcW w:type="dxa" w:w="3742"/>
            <w:vAlign w:val="center"/>
            <w:tcMar>
              <w:top w:w="80" w:type="dxa"/>
              <w:start w:w="90" w:type="dxa"/>
              <w:bottom w:w="80" w:type="dxa"/>
              <w:end w:w="90" w:type="dxa"/>
            </w:tcMar>
          </w:tcPr>
          <w:p>
            <w:r>
              <w:rPr>
                <w:sz w:val="16"/>
              </w:rPr>
              <w:t>Fixed</w:t>
            </w:r>
          </w:p>
        </w:tc>
        <w:tc>
          <w:tcPr>
            <w:tcW w:type="dxa" w:w="2041"/>
            <w:vAlign w:val="center"/>
            <w:tcMar>
              <w:top w:w="80" w:type="dxa"/>
              <w:start w:w="90" w:type="dxa"/>
              <w:bottom w:w="80" w:type="dxa"/>
              <w:end w:w="90" w:type="dxa"/>
            </w:tcMar>
          </w:tcPr>
          <w:p>
            <w:r>
              <w:rPr>
                <w:sz w:val="16"/>
              </w:rPr>
              <w:t>100 nodes</w:t>
            </w:r>
          </w:p>
        </w:tc>
      </w:tr>
      <w:tr>
        <w:trPr>
          <w:cantSplit/>
        </w:trPr>
        <w:tc>
          <w:tcPr>
            <w:tcW w:type="dxa" w:w="3742"/>
            <w:vAlign w:val="center"/>
            <w:tcMar>
              <w:top w:w="80" w:type="dxa"/>
              <w:start w:w="90" w:type="dxa"/>
              <w:bottom w:w="80" w:type="dxa"/>
              <w:end w:w="90" w:type="dxa"/>
            </w:tcMar>
          </w:tcPr>
          <w:p>
            <w:r>
              <w:rPr>
                <w:sz w:val="16"/>
              </w:rPr>
              <w:t>Random seed</w:t>
            </w:r>
          </w:p>
        </w:tc>
        <w:tc>
          <w:tcPr>
            <w:tcW w:type="dxa" w:w="3742"/>
            <w:vAlign w:val="center"/>
            <w:tcMar>
              <w:top w:w="80" w:type="dxa"/>
              <w:start w:w="90" w:type="dxa"/>
              <w:bottom w:w="80" w:type="dxa"/>
              <w:end w:w="90" w:type="dxa"/>
            </w:tcMar>
          </w:tcPr>
          <w:p>
            <w:r>
              <w:rPr>
                <w:sz w:val="16"/>
              </w:rPr>
              <w:t>Fixed</w:t>
            </w:r>
          </w:p>
        </w:tc>
        <w:tc>
          <w:tcPr>
            <w:tcW w:type="dxa" w:w="2041"/>
            <w:vAlign w:val="center"/>
            <w:tcMar>
              <w:top w:w="80" w:type="dxa"/>
              <w:start w:w="90" w:type="dxa"/>
              <w:bottom w:w="80" w:type="dxa"/>
              <w:end w:w="90" w:type="dxa"/>
            </w:tcMar>
          </w:tcPr>
          <w:p>
            <w:r>
              <w:rPr>
                <w:sz w:val="16"/>
              </w:rPr>
              <w:t>20260914</w:t>
            </w:r>
          </w:p>
        </w:tc>
      </w:tr>
    </w:tbl>
    <w:p/>
    <w:p>
      <w:pPr>
        <w:pStyle w:val="Heading1"/>
      </w:pPr>
      <w:r>
        <w:t>S5. Dataset-specific module outcome</w:t>
      </w:r>
    </w:p>
    <w:p>
      <w:pPr>
        <w:pStyle w:val="BodyText"/>
      </w:pPr>
      <w:r>
        <w:t>The selected setting generated 20,937 evidence-weighted relationships and 21 modules containing at least three nodes. All 878 connected input nodes were assigned. Eighteen modules contained more than 10 nodes and collectively included 855 nodes. The largest module contained 96 nodes, and 11 of the 12 representative features were recovered in M1.</w:t>
      </w:r>
    </w:p>
    <w:tbl>
      <w:tblPr>
        <w:tblStyle w:val="TableGrid"/>
        <w:tblW w:type="dxa" w:w="9524"/>
        <w:tblLayout w:type="fixed"/>
        <w:tblLook w:firstColumn="1" w:firstRow="1" w:lastColumn="0" w:lastRow="0" w:noHBand="0" w:noVBand="1" w:val="04A0"/>
        <w:tblInd w:type="dxa" w:w="90"/>
      </w:tblPr>
      <w:tblGrid>
        <w:gridCol w:w="6803"/>
        <w:gridCol w:w="2721"/>
      </w:tblGrid>
      <w:tr>
        <w:trPr>
          <w:tblHeader w:val="true"/>
        </w:trPr>
        <w:tc>
          <w:tcPr>
            <w:tcW w:type="dxa" w:w="6803"/>
            <w:shd w:fill="DCE6F1"/>
            <w:vAlign w:val="center"/>
            <w:tcMar>
              <w:top w:w="80" w:type="dxa"/>
              <w:start w:w="90" w:type="dxa"/>
              <w:bottom w:w="80" w:type="dxa"/>
              <w:end w:w="90" w:type="dxa"/>
            </w:tcMar>
          </w:tcPr>
          <w:p>
            <w:pPr>
              <w:jc w:val="center"/>
            </w:pPr>
            <w:r>
              <w:rPr>
                <w:b/>
                <w:sz w:val="16"/>
              </w:rPr>
              <w:t>Outcome</w:t>
            </w:r>
          </w:p>
        </w:tc>
        <w:tc>
          <w:tcPr>
            <w:tcW w:type="dxa" w:w="2721"/>
            <w:shd w:fill="DCE6F1"/>
            <w:vAlign w:val="center"/>
            <w:tcMar>
              <w:top w:w="80" w:type="dxa"/>
              <w:start w:w="90" w:type="dxa"/>
              <w:bottom w:w="80" w:type="dxa"/>
              <w:end w:w="90" w:type="dxa"/>
            </w:tcMar>
          </w:tcPr>
          <w:p>
            <w:pPr>
              <w:jc w:val="center"/>
            </w:pPr>
            <w:r>
              <w:rPr>
                <w:b/>
                <w:sz w:val="16"/>
              </w:rPr>
              <w:t>Value</w:t>
            </w:r>
          </w:p>
        </w:tc>
      </w:tr>
      <w:tr>
        <w:trPr>
          <w:cantSplit/>
        </w:trPr>
        <w:tc>
          <w:tcPr>
            <w:tcW w:type="dxa" w:w="6803"/>
            <w:vAlign w:val="center"/>
            <w:tcMar>
              <w:top w:w="80" w:type="dxa"/>
              <w:start w:w="90" w:type="dxa"/>
              <w:bottom w:w="80" w:type="dxa"/>
              <w:end w:w="90" w:type="dxa"/>
            </w:tcMar>
          </w:tcPr>
          <w:p>
            <w:r>
              <w:rPr>
                <w:sz w:val="16"/>
              </w:rPr>
              <w:t>Aligned precursor features</w:t>
            </w:r>
          </w:p>
        </w:tc>
        <w:tc>
          <w:tcPr>
            <w:tcW w:type="dxa" w:w="2721"/>
            <w:vAlign w:val="center"/>
            <w:tcMar>
              <w:top w:w="80" w:type="dxa"/>
              <w:start w:w="90" w:type="dxa"/>
              <w:bottom w:w="80" w:type="dxa"/>
              <w:end w:w="90" w:type="dxa"/>
            </w:tcMar>
          </w:tcPr>
          <w:p>
            <w:r>
              <w:rPr>
                <w:sz w:val="16"/>
              </w:rPr>
              <w:t>924</w:t>
            </w:r>
          </w:p>
        </w:tc>
      </w:tr>
      <w:tr>
        <w:trPr>
          <w:cantSplit/>
        </w:trPr>
        <w:tc>
          <w:tcPr>
            <w:tcW w:type="dxa" w:w="6803"/>
            <w:vAlign w:val="center"/>
            <w:tcMar>
              <w:top w:w="80" w:type="dxa"/>
              <w:start w:w="90" w:type="dxa"/>
              <w:bottom w:w="80" w:type="dxa"/>
              <w:end w:w="90" w:type="dxa"/>
            </w:tcMar>
          </w:tcPr>
          <w:p>
            <w:r>
              <w:rPr>
                <w:sz w:val="16"/>
              </w:rPr>
              <w:t>Connected input nodes</w:t>
            </w:r>
          </w:p>
        </w:tc>
        <w:tc>
          <w:tcPr>
            <w:tcW w:type="dxa" w:w="2721"/>
            <w:vAlign w:val="center"/>
            <w:tcMar>
              <w:top w:w="80" w:type="dxa"/>
              <w:start w:w="90" w:type="dxa"/>
              <w:bottom w:w="80" w:type="dxa"/>
              <w:end w:w="90" w:type="dxa"/>
            </w:tcMar>
          </w:tcPr>
          <w:p>
            <w:r>
              <w:rPr>
                <w:sz w:val="16"/>
              </w:rPr>
              <w:t>878</w:t>
            </w:r>
          </w:p>
        </w:tc>
      </w:tr>
      <w:tr>
        <w:trPr>
          <w:cantSplit/>
        </w:trPr>
        <w:tc>
          <w:tcPr>
            <w:tcW w:type="dxa" w:w="6803"/>
            <w:vAlign w:val="center"/>
            <w:tcMar>
              <w:top w:w="80" w:type="dxa"/>
              <w:start w:w="90" w:type="dxa"/>
              <w:bottom w:w="80" w:type="dxa"/>
              <w:end w:w="90" w:type="dxa"/>
            </w:tcMar>
          </w:tcPr>
          <w:p>
            <w:r>
              <w:rPr>
                <w:sz w:val="16"/>
              </w:rPr>
              <w:t>Original modified-cosine edges</w:t>
            </w:r>
          </w:p>
        </w:tc>
        <w:tc>
          <w:tcPr>
            <w:tcW w:type="dxa" w:w="2721"/>
            <w:vAlign w:val="center"/>
            <w:tcMar>
              <w:top w:w="80" w:type="dxa"/>
              <w:start w:w="90" w:type="dxa"/>
              <w:bottom w:w="80" w:type="dxa"/>
              <w:end w:w="90" w:type="dxa"/>
            </w:tcMar>
          </w:tcPr>
          <w:p>
            <w:r>
              <w:rPr>
                <w:sz w:val="16"/>
              </w:rPr>
              <w:t>15,417</w:t>
            </w:r>
          </w:p>
        </w:tc>
      </w:tr>
      <w:tr>
        <w:trPr>
          <w:cantSplit/>
        </w:trPr>
        <w:tc>
          <w:tcPr>
            <w:tcW w:type="dxa" w:w="6803"/>
            <w:vAlign w:val="center"/>
            <w:tcMar>
              <w:top w:w="80" w:type="dxa"/>
              <w:start w:w="90" w:type="dxa"/>
              <w:bottom w:w="80" w:type="dxa"/>
              <w:end w:w="90" w:type="dxa"/>
            </w:tcMar>
          </w:tcPr>
          <w:p>
            <w:r>
              <w:rPr>
                <w:sz w:val="16"/>
              </w:rPr>
              <w:t>Final evidence-weighted relationships</w:t>
            </w:r>
          </w:p>
        </w:tc>
        <w:tc>
          <w:tcPr>
            <w:tcW w:type="dxa" w:w="2721"/>
            <w:vAlign w:val="center"/>
            <w:tcMar>
              <w:top w:w="80" w:type="dxa"/>
              <w:start w:w="90" w:type="dxa"/>
              <w:bottom w:w="80" w:type="dxa"/>
              <w:end w:w="90" w:type="dxa"/>
            </w:tcMar>
          </w:tcPr>
          <w:p>
            <w:r>
              <w:rPr>
                <w:sz w:val="16"/>
              </w:rPr>
              <w:t>20,937</w:t>
            </w:r>
          </w:p>
        </w:tc>
      </w:tr>
      <w:tr>
        <w:trPr>
          <w:cantSplit/>
        </w:trPr>
        <w:tc>
          <w:tcPr>
            <w:tcW w:type="dxa" w:w="6803"/>
            <w:vAlign w:val="center"/>
            <w:tcMar>
              <w:top w:w="80" w:type="dxa"/>
              <w:start w:w="90" w:type="dxa"/>
              <w:bottom w:w="80" w:type="dxa"/>
              <w:end w:w="90" w:type="dxa"/>
            </w:tcMar>
          </w:tcPr>
          <w:p>
            <w:r>
              <w:rPr>
                <w:sz w:val="16"/>
              </w:rPr>
              <w:t>Modules containing at least 3 nodes</w:t>
            </w:r>
          </w:p>
        </w:tc>
        <w:tc>
          <w:tcPr>
            <w:tcW w:type="dxa" w:w="2721"/>
            <w:vAlign w:val="center"/>
            <w:tcMar>
              <w:top w:w="80" w:type="dxa"/>
              <w:start w:w="90" w:type="dxa"/>
              <w:bottom w:w="80" w:type="dxa"/>
              <w:end w:w="90" w:type="dxa"/>
            </w:tcMar>
          </w:tcPr>
          <w:p>
            <w:r>
              <w:rPr>
                <w:sz w:val="16"/>
              </w:rPr>
              <w:t>21</w:t>
            </w:r>
          </w:p>
        </w:tc>
      </w:tr>
      <w:tr>
        <w:trPr>
          <w:cantSplit/>
        </w:trPr>
        <w:tc>
          <w:tcPr>
            <w:tcW w:type="dxa" w:w="6803"/>
            <w:vAlign w:val="center"/>
            <w:tcMar>
              <w:top w:w="80" w:type="dxa"/>
              <w:start w:w="90" w:type="dxa"/>
              <w:bottom w:w="80" w:type="dxa"/>
              <w:end w:w="90" w:type="dxa"/>
            </w:tcMar>
          </w:tcPr>
          <w:p>
            <w:r>
              <w:rPr>
                <w:sz w:val="16"/>
              </w:rPr>
              <w:t>Modules containing more than 10 nodes</w:t>
            </w:r>
          </w:p>
        </w:tc>
        <w:tc>
          <w:tcPr>
            <w:tcW w:type="dxa" w:w="2721"/>
            <w:vAlign w:val="center"/>
            <w:tcMar>
              <w:top w:w="80" w:type="dxa"/>
              <w:start w:w="90" w:type="dxa"/>
              <w:bottom w:w="80" w:type="dxa"/>
              <w:end w:w="90" w:type="dxa"/>
            </w:tcMar>
          </w:tcPr>
          <w:p>
            <w:r>
              <w:rPr>
                <w:sz w:val="16"/>
              </w:rPr>
              <w:t>18</w:t>
            </w:r>
          </w:p>
        </w:tc>
      </w:tr>
      <w:tr>
        <w:trPr>
          <w:cantSplit/>
        </w:trPr>
        <w:tc>
          <w:tcPr>
            <w:tcW w:type="dxa" w:w="6803"/>
            <w:vAlign w:val="center"/>
            <w:tcMar>
              <w:top w:w="80" w:type="dxa"/>
              <w:start w:w="90" w:type="dxa"/>
              <w:bottom w:w="80" w:type="dxa"/>
              <w:end w:w="90" w:type="dxa"/>
            </w:tcMar>
          </w:tcPr>
          <w:p>
            <w:r>
              <w:rPr>
                <w:sz w:val="16"/>
              </w:rPr>
              <w:t>Nodes in modules containing more than 10 nodes</w:t>
            </w:r>
          </w:p>
        </w:tc>
        <w:tc>
          <w:tcPr>
            <w:tcW w:type="dxa" w:w="2721"/>
            <w:vAlign w:val="center"/>
            <w:tcMar>
              <w:top w:w="80" w:type="dxa"/>
              <w:start w:w="90" w:type="dxa"/>
              <w:bottom w:w="80" w:type="dxa"/>
              <w:end w:w="90" w:type="dxa"/>
            </w:tcMar>
          </w:tcPr>
          <w:p>
            <w:r>
              <w:rPr>
                <w:sz w:val="16"/>
              </w:rPr>
              <w:t>855</w:t>
            </w:r>
          </w:p>
        </w:tc>
      </w:tr>
      <w:tr>
        <w:trPr>
          <w:cantSplit/>
        </w:trPr>
        <w:tc>
          <w:tcPr>
            <w:tcW w:type="dxa" w:w="6803"/>
            <w:vAlign w:val="center"/>
            <w:tcMar>
              <w:top w:w="80" w:type="dxa"/>
              <w:start w:w="90" w:type="dxa"/>
              <w:bottom w:w="80" w:type="dxa"/>
              <w:end w:w="90" w:type="dxa"/>
            </w:tcMar>
          </w:tcPr>
          <w:p>
            <w:r>
              <w:rPr>
                <w:sz w:val="16"/>
              </w:rPr>
              <w:t>Largest module</w:t>
            </w:r>
          </w:p>
        </w:tc>
        <w:tc>
          <w:tcPr>
            <w:tcW w:type="dxa" w:w="2721"/>
            <w:vAlign w:val="center"/>
            <w:tcMar>
              <w:top w:w="80" w:type="dxa"/>
              <w:start w:w="90" w:type="dxa"/>
              <w:bottom w:w="80" w:type="dxa"/>
              <w:end w:w="90" w:type="dxa"/>
            </w:tcMar>
          </w:tcPr>
          <w:p>
            <w:r>
              <w:rPr>
                <w:sz w:val="16"/>
              </w:rPr>
              <w:t>96 nodes</w:t>
            </w:r>
          </w:p>
        </w:tc>
      </w:tr>
      <w:tr>
        <w:trPr>
          <w:cantSplit/>
        </w:trPr>
        <w:tc>
          <w:tcPr>
            <w:tcW w:type="dxa" w:w="6803"/>
            <w:vAlign w:val="center"/>
            <w:tcMar>
              <w:top w:w="80" w:type="dxa"/>
              <w:start w:w="90" w:type="dxa"/>
              <w:bottom w:w="80" w:type="dxa"/>
              <w:end w:w="90" w:type="dxa"/>
            </w:tcMar>
          </w:tcPr>
          <w:p>
            <w:r>
              <w:rPr>
                <w:sz w:val="16"/>
              </w:rPr>
              <w:t>Representative features recovered in M1</w:t>
            </w:r>
          </w:p>
        </w:tc>
        <w:tc>
          <w:tcPr>
            <w:tcW w:type="dxa" w:w="2721"/>
            <w:vAlign w:val="center"/>
            <w:tcMar>
              <w:top w:w="80" w:type="dxa"/>
              <w:start w:w="90" w:type="dxa"/>
              <w:bottom w:w="80" w:type="dxa"/>
              <w:end w:w="90" w:type="dxa"/>
            </w:tcMar>
          </w:tcPr>
          <w:p>
            <w:r>
              <w:rPr>
                <w:sz w:val="16"/>
              </w:rPr>
              <w:t>11 of 12</w:t>
            </w:r>
          </w:p>
        </w:tc>
      </w:tr>
    </w:tbl>
    <w:p/>
    <w:p>
      <w:pPr>
        <w:pStyle w:val="Heading1"/>
      </w:pPr>
      <w:r>
        <w:t>S6. Post hoc activity association</w:t>
      </w:r>
    </w:p>
    <w:p>
      <w:pPr>
        <w:pStyle w:val="BodyText"/>
      </w:pPr>
      <w:r>
        <w:t>Oil Red O lipid accumulation was used as the fraction-level activity response. For fraction g, the efficacy recovery index was calculated as:</w:t>
      </w:r>
    </w:p>
    <w:p>
      <w:pPr>
        <w:jc w:val="center"/>
      </w:pPr>
      <w:r>
        <w:rPr>
          <w:rFonts w:ascii="Cambria Math" w:hAnsi="Cambria Math"/>
          <w:i/>
          <w:sz w:val="21"/>
        </w:rPr>
        <w:t>Eg = (mean Model - mean fraction g) / (mean Model - mean Control)</w:t>
      </w:r>
    </w:p>
    <w:p>
      <w:pPr>
        <w:pStyle w:val="BodyText"/>
      </w:pPr>
      <w:r>
        <w:t>Feature abundances within each fraction were normalized to a total of 1,000,000 and transformed using log1p for trend analysis. Pearson, Spearman, and Kendall associations with the five-fraction efficacy profile were exported as descriptive measures. Candidate prioritization combined the target-fraction abundance percentile, enrichment relative to the other fractions, target-fraction abundance share, and agreement with the observed activity direction. Activity information was introduced only after the modules had been fixed and therefore did not affect graph construction or partitioning.</w:t>
      </w:r>
    </w:p>
    <w:p>
      <w:pPr>
        <w:pStyle w:val="Heading1"/>
      </w:pPr>
      <w:r>
        <w:t>S7. Software, outputs, and reproducibility</w:t>
      </w:r>
    </w:p>
    <w:p>
      <w:pPr>
        <w:pStyle w:val="BodyText"/>
      </w:pPr>
      <w:r>
        <w:t>The workflow was implemented in Python 3.9 or later with NumPy 1.23 or later and NetworkX 3.2 or later. The public implementation reports version 0.5.0. Each run exports a machine-readable parameter record and Cytoscape-compatible node and relation tables.</w:t>
      </w:r>
    </w:p>
    <w:tbl>
      <w:tblPr>
        <w:tblStyle w:val="TableGrid"/>
        <w:tblW w:type="dxa" w:w="9525"/>
        <w:tblLayout w:type="fixed"/>
        <w:tblLook w:firstColumn="1" w:firstRow="1" w:lastColumn="0" w:lastRow="0" w:noHBand="0" w:noVBand="1" w:val="04A0"/>
        <w:tblInd w:type="dxa" w:w="90"/>
      </w:tblPr>
      <w:tblGrid>
        <w:gridCol w:w="3572"/>
        <w:gridCol w:w="5953"/>
      </w:tblGrid>
      <w:tr>
        <w:trPr>
          <w:tblHeader w:val="true"/>
        </w:trPr>
        <w:tc>
          <w:tcPr>
            <w:tcW w:type="dxa" w:w="3572"/>
            <w:shd w:fill="DCE6F1"/>
            <w:vAlign w:val="center"/>
            <w:tcMar>
              <w:top w:w="80" w:type="dxa"/>
              <w:start w:w="90" w:type="dxa"/>
              <w:bottom w:w="80" w:type="dxa"/>
              <w:end w:w="90" w:type="dxa"/>
            </w:tcMar>
          </w:tcPr>
          <w:p>
            <w:pPr>
              <w:jc w:val="center"/>
            </w:pPr>
            <w:r>
              <w:rPr>
                <w:b/>
                <w:sz w:val="16"/>
              </w:rPr>
              <w:t>Output</w:t>
            </w:r>
          </w:p>
        </w:tc>
        <w:tc>
          <w:tcPr>
            <w:tcW w:type="dxa" w:w="5953"/>
            <w:shd w:fill="DCE6F1"/>
            <w:vAlign w:val="center"/>
            <w:tcMar>
              <w:top w:w="80" w:type="dxa"/>
              <w:start w:w="90" w:type="dxa"/>
              <w:bottom w:w="80" w:type="dxa"/>
              <w:end w:w="90" w:type="dxa"/>
            </w:tcMar>
          </w:tcPr>
          <w:p>
            <w:pPr>
              <w:jc w:val="center"/>
            </w:pPr>
            <w:r>
              <w:rPr>
                <w:b/>
                <w:sz w:val="16"/>
              </w:rPr>
              <w:t>Content</w:t>
            </w:r>
          </w:p>
        </w:tc>
      </w:tr>
      <w:tr>
        <w:trPr>
          <w:cantSplit/>
        </w:trPr>
        <w:tc>
          <w:tcPr>
            <w:tcW w:type="dxa" w:w="3572"/>
            <w:vAlign w:val="center"/>
            <w:tcMar>
              <w:top w:w="80" w:type="dxa"/>
              <w:start w:w="90" w:type="dxa"/>
              <w:bottom w:w="80" w:type="dxa"/>
              <w:end w:w="90" w:type="dxa"/>
            </w:tcMar>
          </w:tcPr>
          <w:p>
            <w:r>
              <w:rPr>
                <w:sz w:val="16"/>
              </w:rPr>
              <w:t>00_run_parameters.json</w:t>
            </w:r>
          </w:p>
        </w:tc>
        <w:tc>
          <w:tcPr>
            <w:tcW w:type="dxa" w:w="5953"/>
            <w:vAlign w:val="center"/>
            <w:tcMar>
              <w:top w:w="80" w:type="dxa"/>
              <w:start w:w="90" w:type="dxa"/>
              <w:bottom w:w="80" w:type="dxa"/>
              <w:end w:w="90" w:type="dxa"/>
            </w:tcMar>
          </w:tcPr>
          <w:p>
            <w:r>
              <w:rPr>
                <w:sz w:val="16"/>
              </w:rPr>
              <w:t>Software version, preprocessing settings, selected parameters, and feature counts</w:t>
            </w:r>
          </w:p>
        </w:tc>
      </w:tr>
      <w:tr>
        <w:trPr>
          <w:cantSplit/>
        </w:trPr>
        <w:tc>
          <w:tcPr>
            <w:tcW w:type="dxa" w:w="3572"/>
            <w:vAlign w:val="center"/>
            <w:tcMar>
              <w:top w:w="80" w:type="dxa"/>
              <w:start w:w="90" w:type="dxa"/>
              <w:bottom w:w="80" w:type="dxa"/>
              <w:end w:w="90" w:type="dxa"/>
            </w:tcMar>
          </w:tcPr>
          <w:p>
            <w:r>
              <w:rPr>
                <w:sz w:val="16"/>
              </w:rPr>
              <w:t>01_filtered_similarity_edges.csv</w:t>
            </w:r>
          </w:p>
        </w:tc>
        <w:tc>
          <w:tcPr>
            <w:tcW w:type="dxa" w:w="5953"/>
            <w:vAlign w:val="center"/>
            <w:tcMar>
              <w:top w:w="80" w:type="dxa"/>
              <w:start w:w="90" w:type="dxa"/>
              <w:bottom w:w="80" w:type="dxa"/>
              <w:end w:w="90" w:type="dxa"/>
            </w:tcMar>
          </w:tcPr>
          <w:p>
            <w:r>
              <w:rPr>
                <w:sz w:val="16"/>
              </w:rPr>
              <w:t>Original thresholded modified-cosine relationships</w:t>
            </w:r>
          </w:p>
        </w:tc>
      </w:tr>
      <w:tr>
        <w:trPr>
          <w:cantSplit/>
        </w:trPr>
        <w:tc>
          <w:tcPr>
            <w:tcW w:type="dxa" w:w="3572"/>
            <w:vAlign w:val="center"/>
            <w:tcMar>
              <w:top w:w="80" w:type="dxa"/>
              <w:start w:w="90" w:type="dxa"/>
              <w:bottom w:w="80" w:type="dxa"/>
              <w:end w:w="90" w:type="dxa"/>
            </w:tcMar>
          </w:tcPr>
          <w:p>
            <w:r>
              <w:rPr>
                <w:sz w:val="16"/>
              </w:rPr>
              <w:t>02_nodes_with_modules_and_D_labels.csv</w:t>
            </w:r>
          </w:p>
        </w:tc>
        <w:tc>
          <w:tcPr>
            <w:tcW w:type="dxa" w:w="5953"/>
            <w:vAlign w:val="center"/>
            <w:tcMar>
              <w:top w:w="80" w:type="dxa"/>
              <w:start w:w="90" w:type="dxa"/>
              <w:bottom w:w="80" w:type="dxa"/>
              <w:end w:w="90" w:type="dxa"/>
            </w:tcMar>
          </w:tcPr>
          <w:p>
            <w:r>
              <w:rPr>
                <w:sz w:val="16"/>
              </w:rPr>
              <w:t>Node attributes, module membership, and post hoc activity descriptors</w:t>
            </w:r>
          </w:p>
        </w:tc>
      </w:tr>
      <w:tr>
        <w:trPr>
          <w:cantSplit/>
        </w:trPr>
        <w:tc>
          <w:tcPr>
            <w:tcW w:type="dxa" w:w="3572"/>
            <w:vAlign w:val="center"/>
            <w:tcMar>
              <w:top w:w="80" w:type="dxa"/>
              <w:start w:w="90" w:type="dxa"/>
              <w:bottom w:w="80" w:type="dxa"/>
              <w:end w:w="90" w:type="dxa"/>
            </w:tcMar>
          </w:tcPr>
          <w:p>
            <w:r>
              <w:rPr>
                <w:sz w:val="16"/>
              </w:rPr>
              <w:t>03_edges_with_modules.csv</w:t>
            </w:r>
          </w:p>
        </w:tc>
        <w:tc>
          <w:tcPr>
            <w:tcW w:type="dxa" w:w="5953"/>
            <w:vAlign w:val="center"/>
            <w:tcMar>
              <w:top w:w="80" w:type="dxa"/>
              <w:start w:w="90" w:type="dxa"/>
              <w:bottom w:w="80" w:type="dxa"/>
              <w:end w:w="90" w:type="dxa"/>
            </w:tcMar>
          </w:tcPr>
          <w:p>
            <w:r>
              <w:rPr>
                <w:sz w:val="16"/>
              </w:rPr>
              <w:t>All evidence layers, edge origin, final relation weight, and module membership</w:t>
            </w:r>
          </w:p>
        </w:tc>
      </w:tr>
      <w:tr>
        <w:trPr>
          <w:cantSplit/>
        </w:trPr>
        <w:tc>
          <w:tcPr>
            <w:tcW w:type="dxa" w:w="3572"/>
            <w:vAlign w:val="center"/>
            <w:tcMar>
              <w:top w:w="80" w:type="dxa"/>
              <w:start w:w="90" w:type="dxa"/>
              <w:bottom w:w="80" w:type="dxa"/>
              <w:end w:w="90" w:type="dxa"/>
            </w:tcMar>
          </w:tcPr>
          <w:p>
            <w:r>
              <w:rPr>
                <w:sz w:val="16"/>
              </w:rPr>
              <w:t>04_module_summary.csv</w:t>
            </w:r>
          </w:p>
        </w:tc>
        <w:tc>
          <w:tcPr>
            <w:tcW w:type="dxa" w:w="5953"/>
            <w:vAlign w:val="center"/>
            <w:tcMar>
              <w:top w:w="80" w:type="dxa"/>
              <w:start w:w="90" w:type="dxa"/>
              <w:bottom w:w="80" w:type="dxa"/>
              <w:end w:w="90" w:type="dxa"/>
            </w:tcMar>
          </w:tcPr>
          <w:p>
            <w:r>
              <w:rPr>
                <w:sz w:val="16"/>
              </w:rPr>
              <w:t>Module size, internal connectivity, and fraction abundance summaries</w:t>
            </w:r>
          </w:p>
        </w:tc>
      </w:tr>
      <w:tr>
        <w:trPr>
          <w:cantSplit/>
        </w:trPr>
        <w:tc>
          <w:tcPr>
            <w:tcW w:type="dxa" w:w="3572"/>
            <w:vAlign w:val="center"/>
            <w:tcMar>
              <w:top w:w="80" w:type="dxa"/>
              <w:start w:w="90" w:type="dxa"/>
              <w:bottom w:w="80" w:type="dxa"/>
              <w:end w:w="90" w:type="dxa"/>
            </w:tcMar>
          </w:tcPr>
          <w:p>
            <w:r>
              <w:rPr>
                <w:sz w:val="16"/>
              </w:rPr>
              <w:t>05–07 activity tables</w:t>
            </w:r>
          </w:p>
        </w:tc>
        <w:tc>
          <w:tcPr>
            <w:tcW w:type="dxa" w:w="5953"/>
            <w:vAlign w:val="center"/>
            <w:tcMar>
              <w:top w:w="80" w:type="dxa"/>
              <w:start w:w="90" w:type="dxa"/>
              <w:bottom w:w="80" w:type="dxa"/>
              <w:end w:w="90" w:type="dxa"/>
            </w:tcMar>
          </w:tcPr>
          <w:p>
            <w:r>
              <w:rPr>
                <w:sz w:val="16"/>
              </w:rPr>
              <w:t>Post hoc candidate-containing modules and prioritized features</w:t>
            </w:r>
          </w:p>
        </w:tc>
      </w:tr>
      <w:tr>
        <w:trPr>
          <w:cantSplit/>
        </w:trPr>
        <w:tc>
          <w:tcPr>
            <w:tcW w:type="dxa" w:w="3572"/>
            <w:vAlign w:val="center"/>
            <w:tcMar>
              <w:top w:w="80" w:type="dxa"/>
              <w:start w:w="90" w:type="dxa"/>
              <w:bottom w:w="80" w:type="dxa"/>
              <w:end w:w="90" w:type="dxa"/>
            </w:tcMar>
          </w:tcPr>
          <w:p>
            <w:r>
              <w:rPr>
                <w:sz w:val="16"/>
              </w:rPr>
              <w:t>08_parameter_search.csv</w:t>
            </w:r>
          </w:p>
        </w:tc>
        <w:tc>
          <w:tcPr>
            <w:tcW w:type="dxa" w:w="5953"/>
            <w:vAlign w:val="center"/>
            <w:tcMar>
              <w:top w:w="80" w:type="dxa"/>
              <w:start w:w="90" w:type="dxa"/>
              <w:bottom w:w="80" w:type="dxa"/>
              <w:end w:w="90" w:type="dxa"/>
            </w:tcMar>
          </w:tcPr>
          <w:p>
            <w:r>
              <w:rPr>
                <w:sz w:val="16"/>
              </w:rPr>
              <w:t>All 1,008 candidates when calibration is enabled</w:t>
            </w:r>
          </w:p>
        </w:tc>
      </w:tr>
    </w:tbl>
    <w:p/>
    <w:p>
      <w:pPr>
        <w:pStyle w:val="Heading2"/>
      </w:pPr>
      <w:r>
        <w:t>Recommended reproducible command</w:t>
      </w:r>
    </w:p>
    <w:tbl>
      <w:tblPr>
        <w:tblStyle w:val="TableGrid"/>
        <w:tblW w:type="dxa" w:w="9524"/>
        <w:tblLayout w:type="fixed"/>
        <w:tblLook w:firstColumn="1" w:firstRow="1" w:lastColumn="0" w:lastRow="0" w:noHBand="0" w:noVBand="1" w:val="04A0"/>
        <w:tblInd w:type="dxa" w:w="120"/>
      </w:tblPr>
      <w:tblGrid>
        <w:gridCol w:w="9524"/>
      </w:tblGrid>
      <w:tr>
        <w:tc>
          <w:tcPr>
            <w:tcW w:type="dxa" w:w="9524"/>
            <w:shd w:fill="F2F2F2"/>
            <w:tcMar>
              <w:top w:w="100" w:type="dxa"/>
              <w:start w:w="120" w:type="dxa"/>
              <w:bottom w:w="100" w:type="dxa"/>
              <w:end w:w="120" w:type="dxa"/>
            </w:tcMar>
          </w:tcPr>
          <w:p>
            <w:r>
              <w:rPr>
                <w:rFonts w:ascii="Consolas" w:hAnsi="Consolas"/>
                <w:sz w:val="16"/>
              </w:rPr>
              <w:t>ratio-dia --mgf spectra.mgf --edges-in modified_cosine_edges.csv --abundance-table abundance.csv --activity-table activity.csv --partition-method relation-aware --input-scope edge-connected --min-cosine 0.70 --min-matched-peaks 6 --fragment-tolerance 0.01 --relative-intensity-cutoff 0.005 --single-top-peaks 100 --pair-top-peaks 40 --fragment-bin-width 0.02 --pair-motif-weight 0.25 --motif-k 15 --motif-minimum 0.10 --fragmentation-floor 0.10 --topology-floor 0.25 --motif-scale 0.80 --louvain-resolution 2.25 --min-module-size 3 --random-seed 20260914 --output output_directory</w:t>
            </w:r>
          </w:p>
        </w:tc>
      </w:tr>
    </w:tbl>
    <w:p/>
    <w:p>
      <w:pPr>
        <w:pStyle w:val="BodyText"/>
      </w:pPr>
      <w:r>
        <w:t>To repeat calibration rather than applying the selected setting directly, add --parameter-search --representative-nodes representative_nodes.txt. The representative-node file should contain one Alignment ID per line.</w:t>
      </w:r>
    </w:p>
    <w:p>
      <w:pPr>
        <w:pStyle w:val="Heading1"/>
      </w:pPr>
      <w:r>
        <w:t>S8. Interpretation limits</w:t>
      </w:r>
    </w:p>
    <w:p>
      <w:pPr>
        <w:pStyle w:val="BodyText"/>
      </w:pPr>
      <w:r>
        <w:t>The resulting modules are evidence-integrated spectral communities rather than confirmed compound families. Co-fragmentation, adducts, in-source fragments, non-covalent aggregates, and co-eluting isomers may still produce redundant or ambiguous nodes. Candidate-structure consistency and fraction-level activity association support prioritization but do not establish compound identity or causal activity; orthogonal structural and biological validation remains required.</w:t>
      </w:r>
    </w:p>
    <w:sectPr w:rsidR="00FC693F" w:rsidRPr="0006063C" w:rsidSect="00034616">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spacing w:after="80" w:line="245" w:lineRule="auto"/>
      <w:ind w:firstLine="34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Parameter Information for RATIO-DIA</dc:title>
  <dc:subject>RATIO-DIA methods and reproducibility parameters</dc:subject>
  <dc:creator>RATIO-DIA authors</dc:creator>
  <cp:keywords>DIA-MS/MS; molecular networking; RATIO-DIA; supplementary information</cp:keywords>
  <dc:description>generated by python-docx</dc:description>
  <cp:lastModifiedBy/>
  <cp:revision>1</cp:revision>
  <dcterms:created xsi:type="dcterms:W3CDTF">2013-12-23T23:15:00Z</dcterms:created>
  <dcterms:modified xsi:type="dcterms:W3CDTF">2013-12-23T23:15:00Z</dcterms:modified>
  <cp:category/>
</cp:coreProperties>
</file>