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120" w:before="0"/>
        <w:jc w:val="center"/>
      </w:pPr>
      <w:r>
        <w:rPr>
          <w:rFonts w:ascii="Arial" w:cs="Arial" w:eastAsia="Arial" w:hAnsi="Arial"/>
          <w:b/>
          <w:bCs/>
          <w:color w:val="1A3A5C"/>
          <w:sz w:val="48"/>
          <w:szCs w:val="48"/>
        </w:rPr>
        <w:t xml:space="preserve">Global AI Centre of Excellence</w:t>
      </w:r>
    </w:p>
    <w:p>
      <w:pPr>
        <w:spacing w:after="80" w:before="0"/>
        <w:jc w:val="center"/>
      </w:pPr>
      <w:r>
        <w:rPr>
          <w:rFonts w:ascii="Arial" w:cs="Arial" w:eastAsia="Arial" w:hAnsi="Arial"/>
          <w:color w:val="2E5F8A"/>
          <w:sz w:val="28"/>
          <w:szCs w:val="28"/>
        </w:rPr>
        <w:t xml:space="preserve">AI for Mental Health &amp; Community Well-Being</w:t>
      </w:r>
    </w:p>
    <w:p>
      <w:pPr>
        <w:spacing w:after="400" w:before="0"/>
        <w:jc w:val="center"/>
      </w:pPr>
      <w:r>
        <w:rPr>
          <w:rFonts w:ascii="Arial" w:cs="Arial" w:eastAsia="Arial" w:hAnsi="Arial"/>
          <w:i/>
          <w:iCs/>
          <w:color w:val="666666"/>
          <w:sz w:val="22"/>
          <w:szCs w:val="22"/>
        </w:rPr>
        <w:t xml:space="preserve">Concept Note for Singapore Red Cross</w:t>
      </w:r>
    </w:p>
    <w:p>
      <w:pPr>
        <w:pBdr>
          <w:top w:val="single" w:color="1A3A5C" w:sz="6"/>
        </w:pBdr>
        <w:spacing w:after="80" w:before="0"/>
        <w:jc w:val="center"/>
      </w:pPr>
      <w:r>
        <w:rPr>
          <w:rFonts w:ascii="Arial" w:cs="Arial" w:eastAsia="Arial" w:hAnsi="Arial"/>
          <w:color w:val="888888"/>
          <w:sz w:val="18"/>
          <w:szCs w:val="18"/>
        </w:rPr>
        <w:t xml:space="preserve">Prepared for internal circulation to senior management</w:t>
      </w:r>
    </w:p>
    <w:p>
      <w:r>
        <w:br w:type="page"/>
      </w:r>
    </w:p>
    <w:p>
      <w:pPr>
        <w:pStyle w:val="Heading1"/>
        <w:spacing w:after="160" w:before="400"/>
      </w:pPr>
      <w:r>
        <w:rPr>
          <w:rFonts w:ascii="Arial" w:cs="Arial" w:eastAsia="Arial" w:hAnsi="Arial"/>
          <w:b/>
          <w:bCs/>
          <w:color w:val="1A3A5C"/>
          <w:sz w:val="32"/>
          <w:szCs w:val="32"/>
        </w:rPr>
        <w:t xml:space="preserve">1.  What Is This?</w:t>
      </w:r>
    </w:p>
    <w:p>
      <w:pPr>
        <w:spacing w:after="80" w:before="80" w:line="360"/>
      </w:pPr>
      <w:r>
        <w:rPr>
          <w:rFonts w:ascii="Arial" w:cs="Arial" w:eastAsia="Arial" w:hAnsi="Arial"/>
          <w:sz w:val="22"/>
          <w:szCs w:val="22"/>
        </w:rPr>
        <w:t xml:space="preserve">The Global AI Centre of Excellence is a proposed initiative that positions an organisation as a trusted anchor for responsible AI education and mental wellness in an AI-shaped world. Rather than treating AI purely as a technology topic, the Centre frames it through the lens of human well-being — how AI affects our mental health, our relationships, our sense of self, and our ability to make sound decisions.</w:t>
      </w:r>
    </w:p>
    <w:p>
      <w:pPr>
        <w:spacing w:after="80" w:before="80" w:line="360"/>
      </w:pPr>
      <w:r>
        <w:rPr>
          <w:rFonts w:ascii="Arial" w:cs="Arial" w:eastAsia="Arial" w:hAnsi="Arial"/>
          <w:sz w:val="22"/>
          <w:szCs w:val="22"/>
        </w:rPr>
        <w:t xml:space="preserve">For Singapore Red Cross, this is a natural extension of the Mental Health pillar: it addresses a growing source of stress, anxiety, and vulnerability in the community, and it does so through the channels Red Cross already operates — youth outreach, school programmes, volunteer networks, and community engagement.</w:t>
      </w:r>
    </w:p>
    <w:p>
      <w:pPr>
        <w:pStyle w:val="Heading1"/>
        <w:spacing w:after="160" w:before="400"/>
      </w:pPr>
      <w:r>
        <w:rPr>
          <w:rFonts w:ascii="Arial" w:cs="Arial" w:eastAsia="Arial" w:hAnsi="Arial"/>
          <w:b/>
          <w:bCs/>
          <w:color w:val="1A3A5C"/>
          <w:sz w:val="32"/>
          <w:szCs w:val="32"/>
        </w:rPr>
        <w:t xml:space="preserve">2.  Why Now? — The Rationale</w:t>
      </w:r>
    </w:p>
    <w:p>
      <w:pPr>
        <w:pStyle w:val="Heading2"/>
        <w:spacing w:after="120" w:before="280"/>
      </w:pPr>
      <w:r>
        <w:rPr>
          <w:rFonts w:ascii="Arial" w:cs="Arial" w:eastAsia="Arial" w:hAnsi="Arial"/>
          <w:b/>
          <w:bCs/>
          <w:color w:val="2E5F8A"/>
          <w:sz w:val="26"/>
          <w:szCs w:val="26"/>
        </w:rPr>
        <w:t xml:space="preserve">2a. A gap in existing cyber wellness</w:t>
      </w:r>
    </w:p>
    <w:p>
      <w:pPr>
        <w:spacing w:after="80" w:before="80" w:line="360"/>
      </w:pPr>
      <w:r>
        <w:rPr>
          <w:rFonts w:ascii="Arial" w:cs="Arial" w:eastAsia="Arial" w:hAnsi="Arial"/>
          <w:sz w:val="22"/>
          <w:szCs w:val="22"/>
        </w:rPr>
        <w:t xml:space="preserve">Singapore's cyber wellness landscape has traditionally focused on online safety — screen time, cyberbullying, safe sharing, and responsible digital citizenship. These foundations are important, and they continue to matter. But they were not designed for the world we now inhabit.</w:t>
      </w:r>
    </w:p>
    <w:p>
      <w:pPr>
        <w:spacing w:after="80" w:before="80" w:line="360"/>
      </w:pPr>
      <w:r>
        <w:rPr>
          <w:rFonts w:ascii="Arial" w:cs="Arial" w:eastAsia="Arial" w:hAnsi="Arial"/>
          <w:sz w:val="22"/>
          <w:szCs w:val="22"/>
        </w:rPr>
        <w:t xml:space="preserve">Generative and agentic AI are transforming how content is created, how relationships are mediated, and how decisions are made. Traditional cyber wellness frameworks were built for a world where the internet was primarily a repository of human-generated content. They were not built for a world where AI systems create content, mediate relationships, and act on people's behalf. That is the gap the Centre closes.</w:t>
      </w:r>
    </w:p>
    <w:p>
      <w:pPr>
        <w:pStyle w:val="Heading2"/>
        <w:spacing w:after="120" w:before="280"/>
      </w:pPr>
      <w:r>
        <w:rPr>
          <w:rFonts w:ascii="Arial" w:cs="Arial" w:eastAsia="Arial" w:hAnsi="Arial"/>
          <w:b/>
          <w:bCs/>
          <w:color w:val="2E5F8A"/>
          <w:sz w:val="26"/>
          <w:szCs w:val="26"/>
        </w:rPr>
        <w:t xml:space="preserve">2b. The new class of AI-era risk</w:t>
      </w:r>
    </w:p>
    <w:p>
      <w:pPr>
        <w:spacing w:after="80" w:before="80" w:line="360"/>
      </w:pPr>
      <w:r>
        <w:rPr>
          <w:rFonts w:ascii="Arial" w:cs="Arial" w:eastAsia="Arial" w:hAnsi="Arial"/>
          <w:sz w:val="22"/>
          <w:szCs w:val="22"/>
        </w:rPr>
        <w:t xml:space="preserve">The rapid spread of generative AI, AI chatbots, deepfakes, and algorithm-driven environments has introduced risks that fall differently across every life stage: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Children and adolescents face not only the familiar screen-time and harmful-interaction risks, but also AI chatbots and altered media that can shape trust, self-image, and behaviour in ways that are difficult for a child to detect or resist. Persuasive AI systems can influence how young people think about themselves and others.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Young adults increasingly rely on AI for study, work, and even emotional reflection. This creates real opportunity — but also the risk of over-dependence, bypassed critical thinking, and poor judgment about when AI advice should and should not be trusted.</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Parents and caregivers are often less AI-literate than their children. In homes where AI tools are normalising new forms of engagement — AI tutors, AI companions for children, AI-driven content feeds — parents lack the knowledge and confidence to set healthy boundaries or guide meaningful conversations.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Working adults, especially those in leadership and front-line roles, face a combination of constant connectivity and rapidly expanding AI expectations. AI productivity tools increase the expectation of always-on availability, while the seductive convenience of delegating decisions to AI erodes judgment quality over time. In a small, talent-scarce country like Singapore, this erosion among key professionals carries disproportionate cost.</w:t>
      </w:r>
    </w:p>
    <w:p>
      <w:pPr>
        <w:spacing w:after="80" w:before="80" w:line="360"/>
      </w:pPr>
      <w:r>
        <w:rPr>
          <w:rFonts w:ascii="Arial" w:cs="Arial" w:eastAsia="Arial" w:hAnsi="Arial"/>
          <w:sz w:val="22"/>
          <w:szCs w:val="22"/>
        </w:rPr>
        <w:t xml:space="preserve">The specific risks the Centre addresses include: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Misinformation — AI-generated content that is plausible but false, eroding shared reality and the ability of individuals to distinguish fact from fabrication.</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Emotional dependence — forming unhealthy attachments to AI companions, chatbots, and AI-mediated relationships that replace rather than supplement human connection.</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Weakened decision quality — over-reliance on AI advice, automation bias, and the gradual atrophy of independent critical thinking.</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Distorted identity formation — AI-curated social feeds, AI-generated self-images, and the pressure of comparing oneself to AI-enhanced or AI-generated standards of success and appearance.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Overuse and digital burnout — the compounding effect of always-on connectivity and AI-driven productivity expectations on attention, sleep, and mental space.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Deepfake abuse — AI-manipulated media used to deceive, defame, or manipulate, with particular vulnerability among young people still developing critical media literacy.</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AI-enabled grooming — bad actors using AI tools to identify, manipulate, and exploit vulnerable individuals at scale.</w:t>
      </w:r>
    </w:p>
    <w:p>
      <w:pPr>
        <w:pStyle w:val="Heading2"/>
        <w:spacing w:after="120" w:before="280"/>
      </w:pPr>
      <w:r>
        <w:rPr>
          <w:rFonts w:ascii="Arial" w:cs="Arial" w:eastAsia="Arial" w:hAnsi="Arial"/>
          <w:b/>
          <w:bCs/>
          <w:color w:val="2E5F8A"/>
          <w:sz w:val="26"/>
          <w:szCs w:val="26"/>
        </w:rPr>
        <w:t xml:space="preserve">2c. Why traditional approaches fall short</w:t>
      </w:r>
    </w:p>
    <w:p>
      <w:pPr>
        <w:spacing w:after="80" w:before="80" w:line="360"/>
      </w:pPr>
      <w:r>
        <w:rPr>
          <w:rFonts w:ascii="Arial" w:cs="Arial" w:eastAsia="Arial" w:hAnsi="Arial"/>
          <w:sz w:val="22"/>
          <w:szCs w:val="22"/>
        </w:rPr>
        <w:t xml:space="preserve">Existing cyber wellness education covers being safe, responsible, and balanced online. It teaches screen balance, cyber identity, respectful relationships, cyber citizenship, and cyber ethics. These foundations are necessary — but they are no longer sufficient.</w:t>
      </w:r>
    </w:p>
    <w:p>
      <w:pPr>
        <w:spacing w:after="80" w:before="80" w:line="360"/>
      </w:pPr>
      <w:r>
        <w:rPr>
          <w:rFonts w:ascii="Arial" w:cs="Arial" w:eastAsia="Arial" w:hAnsi="Arial"/>
          <w:sz w:val="22"/>
          <w:szCs w:val="22"/>
        </w:rPr>
        <w:t xml:space="preserve">Generative and agentic AI introduce a layer of complexity that traditional programmes were not designed to handle. Young people now need to understand not just how to behave online, but what AI systems are and are not; how to use AI tools wisely and critically; how to maintain human judgment and accountability when AI is part of the loop; and how to protect their mental well-being in an AI-rich world.</w:t>
      </w:r>
    </w:p>
    <w:p>
      <w:pPr>
        <w:spacing w:after="80" w:before="80" w:line="360"/>
      </w:pPr>
      <w:r>
        <w:rPr>
          <w:rFonts w:ascii="Arial" w:cs="Arial" w:eastAsia="Arial" w:hAnsi="Arial"/>
          <w:sz w:val="22"/>
          <w:szCs w:val="22"/>
        </w:rPr>
        <w:t xml:space="preserve">This is not a niche technology concern. It is a public wellness issue, and it demands a public wellness response.</w:t>
      </w:r>
    </w:p>
    <w:p>
      <w:pPr>
        <w:pStyle w:val="Heading2"/>
        <w:spacing w:after="120" w:before="280"/>
      </w:pPr>
      <w:r>
        <w:rPr>
          <w:rFonts w:ascii="Arial" w:cs="Arial" w:eastAsia="Arial" w:hAnsi="Arial"/>
          <w:b/>
          <w:bCs/>
          <w:color w:val="2E5F8A"/>
          <w:sz w:val="26"/>
          <w:szCs w:val="26"/>
        </w:rPr>
        <w:t xml:space="preserve">2d. The case for an anchor partner</w:t>
      </w:r>
    </w:p>
    <w:p>
      <w:pPr>
        <w:spacing w:after="80" w:before="80" w:line="360"/>
      </w:pPr>
      <w:r>
        <w:rPr>
          <w:rFonts w:ascii="Arial" w:cs="Arial" w:eastAsia="Arial" w:hAnsi="Arial"/>
          <w:sz w:val="22"/>
          <w:szCs w:val="22"/>
        </w:rPr>
        <w:t xml:space="preserve">The Centre would deliver four targeted programme tracks — Kids and Teens, Young Adults, Parents and Caregivers, and Working Adults — each with age-appropriate resources, a multi-channel content strategy, supervised demonstrations of AI learning companions, and a multi-year research agenda.</w:t>
      </w:r>
    </w:p>
    <w:p>
      <w:pPr>
        <w:spacing w:after="80" w:before="80" w:line="360"/>
      </w:pPr>
      <w:r>
        <w:rPr>
          <w:rFonts w:ascii="Arial" w:cs="Arial" w:eastAsia="Arial" w:hAnsi="Arial"/>
          <w:sz w:val="22"/>
          <w:szCs w:val="22"/>
        </w:rPr>
        <w:t xml:space="preserve">Launched as a national initiative from Year 1, with a founding coalition and a public AI Cyberwellness Year, the Centre positions its anchor partner as a visible first-mover and a knowledge leader, not simply a funder. For an organisation like Singapore Red Cross — with established trust, community reach, and a values-aligned brand — this is a rare opportunity to shape a national conversation before it is shaped by others.</w:t>
      </w:r>
    </w:p>
    <w:p>
      <w:pPr>
        <w:spacing w:after="80" w:before="80" w:line="360"/>
      </w:pPr>
      <w:r>
        <w:rPr>
          <w:rFonts w:ascii="Arial" w:cs="Arial" w:eastAsia="Arial" w:hAnsi="Arial"/>
          <w:sz w:val="22"/>
          <w:szCs w:val="22"/>
        </w:rPr>
        <w:t xml:space="preserve">What this means in practice: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First-mover leadership: A credible, visible role on one of the next major public-interest challenges of the digital age, at a moment when the conversation is still being defined.</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A stronger community narrative: A clear through-line from the organisation's core mission to helping communities use digital technology safely, wisely, and confidently.</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Knowledge leadership: Original research shared with policymakers, educators, and industry, establishing the anchor partner as a thought leader in AI cyberwellness.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Measurable community impact: A practical launch with defined reach, outcomes, and review points, and a clear path to scale into a permanent national platform.</w:t>
      </w:r>
    </w:p>
    <w:p>
      <w:pPr>
        <w:pStyle w:val="Heading1"/>
        <w:spacing w:after="160" w:before="400"/>
      </w:pPr>
      <w:r>
        <w:rPr>
          <w:rFonts w:ascii="Arial" w:cs="Arial" w:eastAsia="Arial" w:hAnsi="Arial"/>
          <w:b/>
          <w:bCs/>
          <w:color w:val="1A3A5C"/>
          <w:sz w:val="32"/>
          <w:szCs w:val="32"/>
        </w:rPr>
        <w:t xml:space="preserve">3.  How This Connects to the Mental Health Pillar</w:t>
      </w:r>
    </w:p>
    <w:p>
      <w:pPr>
        <w:spacing w:after="80" w:before="80" w:line="360"/>
      </w:pPr>
      <w:r>
        <w:rPr>
          <w:rFonts w:ascii="Arial" w:cs="Arial" w:eastAsia="Arial" w:hAnsi="Arial"/>
          <w:sz w:val="22"/>
          <w:szCs w:val="22"/>
        </w:rPr>
        <w:t xml:space="preserve">The Mental Health pillar is about building resilience, providing support, and helping people navigate psychological challenges. AI is becoming one of those challenges — and one of the tools to address it.</w:t>
      </w:r>
    </w:p>
    <w:p>
      <w:pPr>
        <w:spacing w:after="80" w:before="80" w:line="360"/>
      </w:pPr>
      <w:r>
        <w:rPr>
          <w:rFonts w:ascii="Arial" w:cs="Arial" w:eastAsia="Arial" w:hAnsi="Arial"/>
          <w:sz w:val="22"/>
          <w:szCs w:val="22"/>
        </w:rPr>
        <w:t xml:space="preserve">The Centre would operate four targeted tracks, drawing on Singapore Red Cross's existing community footprint:</w:t>
      </w:r>
    </w:p>
    <w:p>
      <w:pPr>
        <w:pStyle w:val="Heading2"/>
        <w:spacing w:after="120" w:before="280"/>
      </w:pPr>
      <w:r>
        <w:rPr>
          <w:rFonts w:ascii="Arial" w:cs="Arial" w:eastAsia="Arial" w:hAnsi="Arial"/>
          <w:b/>
          <w:bCs/>
          <w:color w:val="2E5F8A"/>
          <w:sz w:val="26"/>
          <w:szCs w:val="26"/>
        </w:rPr>
        <w:t xml:space="preserve">Track 1: Youth &amp; Schools</w:t>
      </w:r>
    </w:p>
    <w:p>
      <w:pPr>
        <w:spacing w:after="80" w:before="80" w:line="360"/>
      </w:pPr>
      <w:r>
        <w:rPr>
          <w:rFonts w:ascii="Arial" w:cs="Arial" w:eastAsia="Arial" w:hAnsi="Arial"/>
          <w:sz w:val="22"/>
          <w:szCs w:val="22"/>
        </w:rPr>
        <w:t xml:space="preserve">Helps children and adolescents build healthy digital habits, stronger emotional regulation, and safer online decision-making, aligned with Singapore's cyber wellness focus on cyber use, identity, relationships, citizenship, and ethics. Through school workshops, peer-ambassador sessions, guided scenario activities, and take-home family tools, the track covers AI chatbots and companions, deepfakes and digital trust, emotional regulation online, online peer pressure and boundaries, and staying in control of agentic AI helpers.</w:t>
      </w:r>
    </w:p>
    <w:p>
      <w:pPr>
        <w:pStyle w:val="Heading2"/>
        <w:spacing w:after="120" w:before="280"/>
      </w:pPr>
      <w:r>
        <w:rPr>
          <w:rFonts w:ascii="Arial" w:cs="Arial" w:eastAsia="Arial" w:hAnsi="Arial"/>
          <w:b/>
          <w:bCs/>
          <w:color w:val="2E5F8A"/>
          <w:sz w:val="26"/>
          <w:szCs w:val="26"/>
        </w:rPr>
        <w:t xml:space="preserve">Track 2: Young Adults</w:t>
      </w:r>
    </w:p>
    <w:p>
      <w:pPr>
        <w:spacing w:after="80" w:before="80" w:line="360"/>
      </w:pPr>
      <w:r>
        <w:rPr>
          <w:rFonts w:ascii="Arial" w:cs="Arial" w:eastAsia="Arial" w:hAnsi="Arial"/>
          <w:sz w:val="22"/>
          <w:szCs w:val="22"/>
        </w:rPr>
        <w:t xml:space="preserve">Serves older teens, tertiary learners, and young adults who use AI for study, productivity, social identity, and emotional support, focusing on digital resilience and responsible real-world use. Through campus seminars, practical labs, small-group workshops, and self-assessment tools, the track covers AI for study and work productivity, when AI advice should and should not be relied on, comparison and identity online, emotional dependence on AI tools and companions, and verifying outputs to avoid automation bias.</w:t>
      </w:r>
    </w:p>
    <w:p>
      <w:pPr>
        <w:pStyle w:val="Heading2"/>
        <w:spacing w:after="120" w:before="280"/>
      </w:pPr>
      <w:r>
        <w:rPr>
          <w:rFonts w:ascii="Arial" w:cs="Arial" w:eastAsia="Arial" w:hAnsi="Arial"/>
          <w:b/>
          <w:bCs/>
          <w:color w:val="2E5F8A"/>
          <w:sz w:val="26"/>
          <w:szCs w:val="26"/>
        </w:rPr>
        <w:t xml:space="preserve">Track 3: Parents &amp; Caregivers</w:t>
      </w:r>
    </w:p>
    <w:p>
      <w:pPr>
        <w:spacing w:after="80" w:before="80" w:line="360"/>
      </w:pPr>
      <w:r>
        <w:rPr>
          <w:rFonts w:ascii="Arial" w:cs="Arial" w:eastAsia="Arial" w:hAnsi="Arial"/>
          <w:sz w:val="22"/>
          <w:szCs w:val="22"/>
        </w:rPr>
        <w:t xml:space="preserve">Helps parents supervise, mentor, and communicate effectively in homes shaped by digital platforms and AI tools. Through school-based workshops, webinars, and family learning kits, the track covers understanding AI toys and chatbots, setting family rules for devices and AI tools, monitoring and trust-building, responding to AI-influenced distress in children, and communication skills for difficult online situations including delegated AI decision-making.</w:t>
      </w:r>
    </w:p>
    <w:p>
      <w:pPr>
        <w:pStyle w:val="Heading2"/>
        <w:spacing w:after="120" w:before="280"/>
      </w:pPr>
      <w:r>
        <w:rPr>
          <w:rFonts w:ascii="Arial" w:cs="Arial" w:eastAsia="Arial" w:hAnsi="Arial"/>
          <w:b/>
          <w:bCs/>
          <w:color w:val="2E5F8A"/>
          <w:sz w:val="26"/>
          <w:szCs w:val="26"/>
        </w:rPr>
        <w:t xml:space="preserve">Track 4: Working Adults &amp; Frontline Professionals</w:t>
      </w:r>
    </w:p>
    <w:p>
      <w:pPr>
        <w:spacing w:after="80" w:before="80" w:line="360"/>
      </w:pPr>
      <w:r>
        <w:rPr>
          <w:rFonts w:ascii="Arial" w:cs="Arial" w:eastAsia="Arial" w:hAnsi="Arial"/>
          <w:sz w:val="22"/>
          <w:szCs w:val="22"/>
        </w:rPr>
        <w:t xml:space="preserve">Focuses on digital well-being and responsible AI use in professional contexts, treating working adults as a strategic protection group rather than a secondary audience. In a small, talent-scarce country, chronic digital burnout, AI-driven attention overload, and poor AI hygiene among key professionals can erode productivity, decision quality, and national capability disproportionately. The track prioritises high-leverage groups including public-service leaders, professionals in healthcare, education, and social services, and Red Cross staff. Special initiatives include closed-door microseries for senior public-service cohorts on digital burnout and responsible agentic AI use, digital resilience clinics for strategic sectors, and an annual well-being snapshot across participating employers.</w:t>
      </w:r>
    </w:p>
    <w:p>
      <w:pPr>
        <w:spacing w:after="80" w:before="80" w:line="360"/>
      </w:pPr>
      <w:r>
        <w:rPr>
          <w:rFonts w:ascii="Arial" w:cs="Arial" w:eastAsia="Arial" w:hAnsi="Arial"/>
          <w:sz w:val="22"/>
          <w:szCs w:val="22"/>
        </w:rPr>
        <w:t xml:space="preserve">The Mental Health connection — what the Centre delivers: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tcW w:type="pct" w:w="30%"/>
            <w:shd w:fill="E8EEF4" w:val="clear"/>
          </w:tcPr>
          <w:p>
            <w:pPr>
              <w:spacing w:after="60" w:before="60"/>
            </w:pPr>
            <w:r>
              <w:rPr>
                <w:rFonts w:ascii="Arial" w:cs="Arial" w:eastAsia="Arial" w:hAnsi="Arial"/>
                <w:b/>
                <w:bCs/>
                <w:sz w:val="22"/>
                <w:szCs w:val="22"/>
              </w:rPr>
              <w:t xml:space="preserve">Mental Health Need</w:t>
            </w:r>
          </w:p>
        </w:tc>
        <w:tc>
          <w:tcPr>
            <w:tcW w:type="pct" w:w="70%"/>
            <w:shd w:fill="E8EEF4" w:val="clear"/>
          </w:tcPr>
          <w:p>
            <w:pPr>
              <w:spacing w:after="60" w:before="60"/>
            </w:pPr>
            <w:r>
              <w:rPr>
                <w:rFonts w:ascii="Arial" w:cs="Arial" w:eastAsia="Arial" w:hAnsi="Arial"/>
                <w:b/>
                <w:bCs/>
                <w:sz w:val="22"/>
                <w:szCs w:val="22"/>
              </w:rPr>
              <w:t xml:space="preserve">AI Dimension &amp; Programme Response</w:t>
            </w:r>
          </w:p>
        </w:tc>
      </w:tr>
      <w:tr>
        <w:tc>
          <w:tcPr>
            <w:tcW w:type="pct" w:w="30%"/>
          </w:tcPr>
          <w:p>
            <w:pPr>
              <w:spacing w:after="60" w:before="60"/>
            </w:pPr>
            <w:r>
              <w:rPr>
                <w:rFonts w:ascii="Arial" w:cs="Arial" w:eastAsia="Arial" w:hAnsi="Arial"/>
                <w:b/>
                <w:bCs/>
                <w:i/>
                <w:iCs/>
                <w:sz w:val="22"/>
                <w:szCs w:val="22"/>
              </w:rPr>
              <w:t xml:space="preserve">Youth anxiety &amp;
emotional regulation</w:t>
            </w:r>
          </w:p>
        </w:tc>
        <w:tc>
          <w:tcPr>
            <w:tcW w:type="pct" w:w="70%"/>
          </w:tcPr>
          <w:p>
            <w:pPr>
              <w:spacing w:after="60" w:before="60"/>
            </w:pPr>
            <w:r>
              <w:rPr>
                <w:rFonts w:ascii="Arial" w:cs="Arial" w:eastAsia="Arial" w:hAnsi="Arial"/>
                <w:sz w:val="22"/>
                <w:szCs w:val="22"/>
              </w:rPr>
              <w:t xml:space="preserve">AI chatbots and companions can create unhealthy emotional attachment. The Centre teaches young people to recognise AI limitations, maintain human connection, and seek human support when needed.</w:t>
            </w:r>
          </w:p>
        </w:tc>
      </w:tr>
      <w:tr>
        <w:tc>
          <w:tcPr>
            <w:tcW w:type="pct" w:w="30%"/>
          </w:tcPr>
          <w:p>
            <w:pPr>
              <w:spacing w:after="60" w:before="60"/>
            </w:pPr>
            <w:r>
              <w:rPr>
                <w:rFonts w:ascii="Arial" w:cs="Arial" w:eastAsia="Arial" w:hAnsi="Arial"/>
                <w:b/>
                <w:bCs/>
                <w:i/>
                <w:iCs/>
                <w:sz w:val="22"/>
                <w:szCs w:val="22"/>
              </w:rPr>
              <w:t xml:space="preserve">Parent–child
communication breakdown</w:t>
            </w:r>
          </w:p>
        </w:tc>
        <w:tc>
          <w:tcPr>
            <w:tcW w:type="pct" w:w="70%"/>
          </w:tcPr>
          <w:p>
            <w:pPr>
              <w:spacing w:after="60" w:before="60"/>
            </w:pPr>
            <w:r>
              <w:rPr>
                <w:rFonts w:ascii="Arial" w:cs="Arial" w:eastAsia="Arial" w:hAnsi="Arial"/>
                <w:sz w:val="22"/>
                <w:szCs w:val="22"/>
              </w:rPr>
              <w:t xml:space="preserve">Parents lack AI literacy to guide children through AI-shaped environments. Structured workshops build parent confidence on AI tools, boundaries, and conversation starters.</w:t>
            </w:r>
          </w:p>
        </w:tc>
      </w:tr>
      <w:tr>
        <w:tc>
          <w:tcPr>
            <w:tcW w:type="pct" w:w="30%"/>
          </w:tcPr>
          <w:p>
            <w:pPr>
              <w:spacing w:after="60" w:before="60"/>
            </w:pPr>
            <w:r>
              <w:rPr>
                <w:rFonts w:ascii="Arial" w:cs="Arial" w:eastAsia="Arial" w:hAnsi="Arial"/>
                <w:b/>
                <w:bCs/>
                <w:i/>
                <w:iCs/>
                <w:sz w:val="22"/>
                <w:szCs w:val="22"/>
              </w:rPr>
              <w:t xml:space="preserve">Digital burnout &amp;
attention fragmentation</w:t>
            </w:r>
          </w:p>
        </w:tc>
        <w:tc>
          <w:tcPr>
            <w:tcW w:type="pct" w:w="70%"/>
          </w:tcPr>
          <w:p>
            <w:pPr>
              <w:spacing w:after="60" w:before="60"/>
            </w:pPr>
            <w:r>
              <w:rPr>
                <w:rFonts w:ascii="Arial" w:cs="Arial" w:eastAsia="Arial" w:hAnsi="Arial"/>
                <w:sz w:val="22"/>
                <w:szCs w:val="22"/>
              </w:rPr>
              <w:t xml:space="preserve">AI productivity tools increase expectations of constant availability. Train working adults on healthy AI use, attention hygiene, and boundary-setting.</w:t>
            </w:r>
          </w:p>
        </w:tc>
      </w:tr>
      <w:tr>
        <w:tc>
          <w:tcPr>
            <w:tcW w:type="pct" w:w="30%"/>
          </w:tcPr>
          <w:p>
            <w:pPr>
              <w:spacing w:after="60" w:before="60"/>
            </w:pPr>
            <w:r>
              <w:rPr>
                <w:rFonts w:ascii="Arial" w:cs="Arial" w:eastAsia="Arial" w:hAnsi="Arial"/>
                <w:b/>
                <w:bCs/>
                <w:i/>
                <w:iCs/>
                <w:sz w:val="22"/>
                <w:szCs w:val="22"/>
              </w:rPr>
              <w:t xml:space="preserve">Misinformation &amp;
distorted self-image</w:t>
            </w:r>
          </w:p>
        </w:tc>
        <w:tc>
          <w:tcPr>
            <w:tcW w:type="pct" w:w="70%"/>
          </w:tcPr>
          <w:p>
            <w:pPr>
              <w:spacing w:after="60" w:before="60"/>
            </w:pPr>
            <w:r>
              <w:rPr>
                <w:rFonts w:ascii="Arial" w:cs="Arial" w:eastAsia="Arial" w:hAnsi="Arial"/>
                <w:sz w:val="22"/>
                <w:szCs w:val="22"/>
              </w:rPr>
              <w:t xml:space="preserve">AI-generated content and deepfakes undermine trust and identity formation. Build critical literacy skills with practical detection tools and reflective exercises.</w:t>
            </w:r>
          </w:p>
        </w:tc>
      </w:tr>
      <w:tr>
        <w:tc>
          <w:tcPr>
            <w:tcW w:type="pct" w:w="30%"/>
          </w:tcPr>
          <w:p>
            <w:pPr>
              <w:spacing w:after="60" w:before="60"/>
            </w:pPr>
            <w:r>
              <w:rPr>
                <w:rFonts w:ascii="Arial" w:cs="Arial" w:eastAsia="Arial" w:hAnsi="Arial"/>
                <w:b/>
                <w:bCs/>
                <w:i/>
                <w:iCs/>
                <w:sz w:val="22"/>
                <w:szCs w:val="22"/>
              </w:rPr>
              <w:t xml:space="preserve">Volunteer &amp;
community resilience</w:t>
            </w:r>
          </w:p>
        </w:tc>
        <w:tc>
          <w:tcPr>
            <w:tcW w:type="pct" w:w="70%"/>
          </w:tcPr>
          <w:p>
            <w:pPr>
              <w:spacing w:after="60" w:before="60"/>
            </w:pPr>
            <w:r>
              <w:rPr>
                <w:rFonts w:ascii="Arial" w:cs="Arial" w:eastAsia="Arial" w:hAnsi="Arial"/>
                <w:sz w:val="22"/>
                <w:szCs w:val="22"/>
              </w:rPr>
              <w:t xml:space="preserve">Volunteers need AI literacy to support beneficiaries navigating AI-shaped stressors. Upskill volunteers as facilitators, embedding AI wellness into existing outreach.</w:t>
            </w:r>
          </w:p>
        </w:tc>
      </w:tr>
    </w:tbl>
    <w:p>
      <w:pPr>
        <w:spacing w:after="80" w:before="80" w:line="360"/>
      </w:pPr>
      <w:r>
        <w:rPr>
          <w:rFonts w:ascii="Arial" w:cs="Arial" w:eastAsia="Arial" w:hAnsi="Arial"/>
          <w:sz w:val="22"/>
          <w:szCs w:val="22"/>
        </w:rPr>
        <w:t xml:space="preserve">In short: AI is becoming a determinant of mental well-being. The Centre treats it as such — not as a tech add-on, but as a core mental wellness topic embedded in every existing Red Cross programme stream. It helps children, families, educators, and workers understand what AI systems are and are not, use AI tools wisely and critically, maintain human judgment and accountability, and protect mental well-being and safety in an AI-rich world. This is a timely opportunity to extend mental wellness leadership into an AI-era community programme that is preventive, practical, and measurable.</w:t>
      </w:r>
    </w:p>
    <w:p>
      <w:pPr>
        <w:pStyle w:val="Heading1"/>
        <w:spacing w:after="160" w:before="400"/>
      </w:pPr>
      <w:r>
        <w:rPr>
          <w:rFonts w:ascii="Arial" w:cs="Arial" w:eastAsia="Arial" w:hAnsi="Arial"/>
          <w:b/>
          <w:bCs/>
          <w:color w:val="1A3A5C"/>
          <w:sz w:val="32"/>
          <w:szCs w:val="32"/>
        </w:rPr>
        <w:t xml:space="preserve">4.  AI Learning Companions and Safeguards</w:t>
      </w:r>
    </w:p>
    <w:p>
      <w:pPr>
        <w:spacing w:after="80" w:before="80" w:line="360"/>
      </w:pPr>
      <w:r>
        <w:rPr>
          <w:rFonts w:ascii="Arial" w:cs="Arial" w:eastAsia="Arial" w:hAnsi="Arial"/>
          <w:sz w:val="22"/>
          <w:szCs w:val="22"/>
        </w:rPr>
        <w:t xml:space="preserve">A distinctive feature of the Centre would be the supervised use of age-appropriate AI learning companions and digital wellness tools, including concept-based, child-facing prototypes. These would be used as guided educational aids, never as replacements for educators, parents, or mental-health professionals.</w:t>
      </w:r>
    </w:p>
    <w:p>
      <w:pPr>
        <w:spacing w:after="80" w:before="80" w:line="360"/>
      </w:pPr>
      <w:r>
        <w:rPr>
          <w:rFonts w:ascii="Arial" w:cs="Arial" w:eastAsia="Arial" w:hAnsi="Arial"/>
          <w:sz w:val="22"/>
          <w:szCs w:val="22"/>
        </w:rPr>
        <w:t xml:space="preserve">Potential benefits include greater engagement, support for emotional check-ins, safer rehearsal of online decision-making, and more accessible teaching of abstract topics such as privacy, deepfakes, and digital trust. At the same time, recent reporting and expert analysis identify significant risks, including unsafe outputs, emotional misreading, unhealthy attachment, privacy concerns, and the inappropriate framing of machine systems as child companions or confidants.</w:t>
      </w:r>
    </w:p>
    <w:p>
      <w:pPr>
        <w:spacing w:after="80" w:before="80" w:line="360"/>
      </w:pPr>
      <w:r>
        <w:rPr>
          <w:rFonts w:ascii="Arial" w:cs="Arial" w:eastAsia="Arial" w:hAnsi="Arial"/>
          <w:sz w:val="22"/>
          <w:szCs w:val="22"/>
        </w:rPr>
        <w:t xml:space="preserve">For this reason, all AI learning companions would be treated as supervised educational prototypes, subject to strict safeguards: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Facilitator or parent oversight at all times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Clear session limits and age-appropriate use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Minimal data collection and closed-domain interactions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Explicit disclosure that these tools are not human friends, therapists, or decision-makers</w:t>
      </w:r>
    </w:p>
    <w:p>
      <w:pPr>
        <w:pStyle w:val="Heading1"/>
        <w:spacing w:after="160" w:before="400"/>
      </w:pPr>
      <w:r>
        <w:rPr>
          <w:rFonts w:ascii="Arial" w:cs="Arial" w:eastAsia="Arial" w:hAnsi="Arial"/>
          <w:b/>
          <w:bCs/>
          <w:color w:val="1A3A5C"/>
          <w:sz w:val="32"/>
          <w:szCs w:val="32"/>
        </w:rPr>
        <w:t xml:space="preserve">5.  Year 1 Launch: A Focused, Measurable Start</w:t>
      </w:r>
    </w:p>
    <w:p>
      <w:pPr>
        <w:spacing w:after="80" w:before="80" w:line="360"/>
      </w:pPr>
      <w:r>
        <w:rPr>
          <w:rFonts w:ascii="Arial" w:cs="Arial" w:eastAsia="Arial" w:hAnsi="Arial"/>
          <w:sz w:val="22"/>
          <w:szCs w:val="22"/>
        </w:rPr>
        <w:t xml:space="preserve">Rather than a quiet pilot, the Centre would aim for a visible launch from day one, with clear reach targets and transparent milestone tracking:</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Launch event — a high-profile "AI &amp; Mental Wellness" convening with government, corporate, and community partners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46 in-person programme runs across the four tracks in the first year (16 youth runs, 10 young adult runs, 10 parent runs, 10 working adult runs), reaching approximately 2,060 people in structured face-to-face sessions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8 online events (webinars, livestreams) extending reach beyond physical sessions, reaching approximately 1,700 additional participants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~3,000–3,500 people directly engaged in structured programmes (accounting for overlap between formats)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Online hub with resources, self-assessment tools, and programme sign-ups, contributing to a total awareness reach of up to 10,000 people through digital touchpoints, video content, and partner-channel sharing</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Volunteer facilitator training — embedding AI wellness capability within the existing Red Cross volunteer corps, so the capability endures beyond any single programme cycle</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Founding coalition — launching with strategic anchor partners (schools, community organisations, employers) who provide instant credibility and programme sites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National call to action — declaring a Singapore Red Cross AI Wellness Year at launch, positioning the Centre as a flagship contribution to Singapore's digital well-being agenda</w:t>
      </w:r>
    </w:p>
    <w:p>
      <w:pPr>
        <w:spacing w:after="80" w:before="80" w:line="360"/>
      </w:pPr>
      <w:r>
        <w:rPr>
          <w:rFonts w:ascii="Arial" w:cs="Arial" w:eastAsia="Arial" w:hAnsi="Arial"/>
          <w:sz w:val="22"/>
          <w:szCs w:val="22"/>
        </w:rPr>
        <w:t xml:space="preserve">Resourcing would still be managed prudently: subsequent support can be tied to agreed indicators — participants reached, partner uptake, pre- and post-outcome shifts, and governance standards — so that bold public leadership and disciplined oversight advance together. This phased, milestone-gated approach gives Singapore Red Cross a clear view of reach, quality, and governance before any decision to scale.</w:t>
      </w:r>
    </w:p>
    <w:p>
      <w:pPr>
        <w:pStyle w:val="Heading1"/>
        <w:spacing w:after="160" w:before="400"/>
      </w:pPr>
      <w:r>
        <w:rPr>
          <w:rFonts w:ascii="Arial" w:cs="Arial" w:eastAsia="Arial" w:hAnsi="Arial"/>
          <w:b/>
          <w:bCs/>
          <w:color w:val="1A3A5C"/>
          <w:sz w:val="32"/>
          <w:szCs w:val="32"/>
        </w:rPr>
        <w:t xml:space="preserve">6.  Research and Innovation</w:t>
      </w:r>
    </w:p>
    <w:p>
      <w:pPr>
        <w:spacing w:after="80" w:before="80" w:line="360"/>
      </w:pPr>
      <w:r>
        <w:rPr>
          <w:rFonts w:ascii="Arial" w:cs="Arial" w:eastAsia="Arial" w:hAnsi="Arial"/>
          <w:sz w:val="22"/>
          <w:szCs w:val="22"/>
        </w:rPr>
        <w:t xml:space="preserve">To position the Centre as a knowledge leader rather than only a programme deliverer, it would operate as a regional research and innovation node, using aggregated and anonymised insights only. The Centre would commit to three flagship studies over its first three years: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Deepfakes and AI-manipulated content: their impact on youth — understanding how young people experience and are affected by AI-generated misinformation and manipulated media</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AI companions and toys: their implications for child development and cyberwellness — examining the psychological effects of children forming attachments to AI systems</w:t>
      </w:r>
    </w:p>
    <w:p>
      <w:pPr>
        <w:spacing w:after="40" w:before="40" w:line="360"/>
        <w:ind w:left="720" w:hanging="360"/>
      </w:pPr>
      <w:r>
        <w:rPr>
          <w:rFonts w:ascii="Arial" w:cs="Arial" w:eastAsia="Arial" w:hAnsi="Arial"/>
          <w:sz w:val="22"/>
          <w:szCs w:val="22"/>
        </w:rPr>
        <w:t xml:space="preserve">•</w:t>
      </w:r>
      <w:r>
        <w:rPr>
          <w:rFonts w:ascii="Arial" w:cs="Arial" w:eastAsia="Arial" w:hAnsi="Arial"/>
          <w:sz w:val="22"/>
          <w:szCs w:val="22"/>
        </w:rPr>
        <w:t xml:space="preserve">  Agentic AI and the workplace: digital burnout and attention — tracking how AI tools are reshaping work patterns, stress levels, and decision quality in professional contexts</w:t>
      </w:r>
    </w:p>
    <w:p>
      <w:pPr>
        <w:spacing w:after="80" w:before="80" w:line="360"/>
      </w:pPr>
      <w:r>
        <w:rPr>
          <w:rFonts w:ascii="Arial" w:cs="Arial" w:eastAsia="Arial" w:hAnsi="Arial"/>
          <w:sz w:val="22"/>
          <w:szCs w:val="22"/>
        </w:rPr>
        <w:t xml:space="preserve">Further research themes would include parental AI literacy and family resilience, scam and fraud prevention in AI-augmented environments, and cross-country digital well-being archetypes. All activities would comply with Singapore's data protection and AI governance frameworks, with key insights shared with policymakers, educators, industry partners, and the public.</w:t>
      </w:r>
    </w:p>
    <w:p>
      <w:pPr>
        <w:pStyle w:val="Heading1"/>
        <w:spacing w:after="160" w:before="400"/>
      </w:pPr>
      <w:r>
        <w:rPr>
          <w:rFonts w:ascii="Arial" w:cs="Arial" w:eastAsia="Arial" w:hAnsi="Arial"/>
          <w:b/>
          <w:bCs/>
          <w:color w:val="1A3A5C"/>
          <w:sz w:val="32"/>
          <w:szCs w:val="32"/>
        </w:rPr>
        <w:t xml:space="preserve">7.  What Makes This Different</w:t>
      </w:r>
    </w:p>
    <w:p>
      <w:pPr>
        <w:spacing w:after="80" w:before="80" w:line="360"/>
      </w:pPr>
      <w:r>
        <w:rPr>
          <w:rFonts w:ascii="Arial" w:cs="Arial" w:eastAsia="Arial" w:hAnsi="Arial"/>
          <w:sz w:val="22"/>
          <w:szCs w:val="22"/>
        </w:rPr>
        <w:t xml:space="preserve">Anchored in a trusted institution. Singapore Red Cross brings credibility, community trust, and an established volunteer network that a pure technology or academic institution cannot replicate. This matters enormously when the topic is mental health — people open up differently when the messenger is a known, values-aligned organisation that they already trust with their most vulnerable moments.</w:t>
      </w:r>
    </w:p>
    <w:p>
      <w:pPr>
        <w:spacing w:after="80" w:before="80" w:line="360"/>
      </w:pPr>
      <w:r>
        <w:rPr>
          <w:rFonts w:ascii="Arial" w:cs="Arial" w:eastAsia="Arial" w:hAnsi="Arial"/>
          <w:sz w:val="22"/>
          <w:szCs w:val="22"/>
        </w:rPr>
        <w:t xml:space="preserve">Already-connected reach. Red Cross works across schools, youth groups, families, volunteers, and the wider community. Launching AI wellness programmes through these existing channels means outreach costs are lower and adoption rates are higher, because the entry point is a relationship that already exists.</w:t>
      </w:r>
    </w:p>
    <w:p>
      <w:pPr>
        <w:spacing w:after="80" w:before="80" w:line="360"/>
      </w:pPr>
      <w:r>
        <w:rPr>
          <w:rFonts w:ascii="Arial" w:cs="Arial" w:eastAsia="Arial" w:hAnsi="Arial"/>
          <w:sz w:val="22"/>
          <w:szCs w:val="22"/>
        </w:rPr>
        <w:t xml:space="preserve">Mental health framing, not just technology. Most AI education initiatives are technology-first ("learn how ChatGPT works"). This Centre leads with human outcomes: "how does AI affect your mental health, your relationships, and your ability to think clearly?" That framing resonates more deeply with the communities Red Cross serves and aligns directly with the organisation's core mission.</w:t>
      </w:r>
    </w:p>
    <w:p>
      <w:pPr>
        <w:spacing w:after="80" w:before="80" w:line="360"/>
      </w:pPr>
      <w:r>
        <w:rPr>
          <w:rFonts w:ascii="Arial" w:cs="Arial" w:eastAsia="Arial" w:hAnsi="Arial"/>
          <w:sz w:val="22"/>
          <w:szCs w:val="22"/>
        </w:rPr>
        <w:t xml:space="preserve">Preventive, not reactive. The Centre addresses AI-related mental health stress before it becomes a crisis — building literacy, resilience, and critical thinking skills that reduce the need for downstream intervention. This is consistent with Red Cross's preventive approach to community health.</w:t>
      </w:r>
    </w:p>
    <w:p>
      <w:pPr>
        <w:spacing w:after="80" w:before="80" w:line="360"/>
      </w:pPr>
      <w:r>
        <w:rPr>
          <w:rFonts w:ascii="Arial" w:cs="Arial" w:eastAsia="Arial" w:hAnsi="Arial"/>
          <w:sz w:val="22"/>
          <w:szCs w:val="22"/>
        </w:rPr>
        <w:t xml:space="preserve">Global ambition with local roots. The "Global" in the Centre's name reflects an intent to develop frameworks, curricula, and research that can be shared with other Red Cross / Red Crescent societies and international humanitarian partners — positioning Singapore Red Cross as a regional thought leader while grounding the work firmly in the Singapore community.</w:t>
      </w:r>
    </w:p>
    <w:p>
      <w:pPr>
        <w:spacing w:after="80" w:before="80" w:line="360"/>
      </w:pPr>
      <w:r>
        <w:rPr>
          <w:rFonts w:ascii="Arial" w:cs="Arial" w:eastAsia="Arial" w:hAnsi="Arial"/>
          <w:sz w:val="22"/>
          <w:szCs w:val="22"/>
        </w:rPr>
        <w:t xml:space="preserve">A first-mover position. The window for shaping the AI-and-mental-wellness conversation is open now. Within a few years, the space will be crowded with corporate, academic, and government initiatives. Establishing the Centre early — with Red Cross credibility behind it — means the organisation helps define the agenda rather than reacting to it.</w:t>
      </w:r>
    </w:p>
    <w:p>
      <w:pPr>
        <w:pStyle w:val="Heading1"/>
        <w:spacing w:after="160" w:before="400"/>
      </w:pPr>
      <w:r>
        <w:rPr>
          <w:rFonts w:ascii="Arial" w:cs="Arial" w:eastAsia="Arial" w:hAnsi="Arial"/>
          <w:b/>
          <w:bCs/>
          <w:color w:val="1A3A5C"/>
          <w:sz w:val="32"/>
          <w:szCs w:val="32"/>
        </w:rPr>
        <w:t xml:space="preserve">8.  Strategic Value for Singapore Red Cross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tcW w:type="pct" w:w="30%"/>
            <w:shd w:fill="E8EEF4" w:val="clear"/>
          </w:tcPr>
          <w:p>
            <w:pPr>
              <w:spacing w:after="60" w:before="60"/>
            </w:pPr>
            <w:r>
              <w:rPr>
                <w:rFonts w:ascii="Arial" w:cs="Arial" w:eastAsia="Arial" w:hAnsi="Arial"/>
                <w:b/>
                <w:bCs/>
                <w:sz w:val="22"/>
                <w:szCs w:val="22"/>
              </w:rPr>
              <w:t xml:space="preserve">Benefit</w:t>
            </w:r>
          </w:p>
        </w:tc>
        <w:tc>
          <w:tcPr>
            <w:tcW w:type="pct" w:w="70%"/>
            <w:shd w:fill="E8EEF4" w:val="clear"/>
          </w:tcPr>
          <w:p>
            <w:pPr>
              <w:spacing w:after="60" w:before="60"/>
            </w:pPr>
            <w:r>
              <w:rPr>
                <w:rFonts w:ascii="Arial" w:cs="Arial" w:eastAsia="Arial" w:hAnsi="Arial"/>
                <w:b/>
                <w:bCs/>
                <w:sz w:val="22"/>
                <w:szCs w:val="22"/>
              </w:rPr>
              <w:t xml:space="preserve">What It Means</w:t>
            </w:r>
          </w:p>
        </w:tc>
      </w:tr>
      <w:tr>
        <w:tc>
          <w:tcPr>
            <w:tcW w:type="pct" w:w="30%"/>
          </w:tcPr>
          <w:p>
            <w:pPr>
              <w:spacing w:after="60" w:before="60"/>
            </w:pPr>
            <w:r>
              <w:rPr>
                <w:rFonts w:ascii="Arial" w:cs="Arial" w:eastAsia="Arial" w:hAnsi="Arial"/>
                <w:b/>
                <w:bCs/>
                <w:i/>
                <w:iCs/>
                <w:sz w:val="22"/>
                <w:szCs w:val="22"/>
              </w:rPr>
              <w:t xml:space="preserve">Relevance to next generation</w:t>
            </w:r>
          </w:p>
        </w:tc>
        <w:tc>
          <w:tcPr>
            <w:tcW w:type="pct" w:w="70%"/>
          </w:tcPr>
          <w:p>
            <w:pPr>
              <w:spacing w:after="60" w:before="60"/>
            </w:pPr>
            <w:r>
              <w:rPr>
                <w:rFonts w:ascii="Arial" w:cs="Arial" w:eastAsia="Arial" w:hAnsi="Arial"/>
                <w:sz w:val="22"/>
                <w:szCs w:val="22"/>
              </w:rPr>
              <w:t xml:space="preserve">Positions Red Cross as a contemporary, forward-looking organisation for youth who live in an AI-shaped world</w:t>
            </w:r>
          </w:p>
        </w:tc>
      </w:tr>
      <w:tr>
        <w:tc>
          <w:tcPr>
            <w:tcW w:type="pct" w:w="30%"/>
          </w:tcPr>
          <w:p>
            <w:pPr>
              <w:spacing w:after="60" w:before="60"/>
            </w:pPr>
            <w:r>
              <w:rPr>
                <w:rFonts w:ascii="Arial" w:cs="Arial" w:eastAsia="Arial" w:hAnsi="Arial"/>
                <w:b/>
                <w:bCs/>
                <w:i/>
                <w:iCs/>
                <w:sz w:val="22"/>
                <w:szCs w:val="22"/>
              </w:rPr>
              <w:t xml:space="preserve">Mental Health pillar differentiation</w:t>
            </w:r>
          </w:p>
        </w:tc>
        <w:tc>
          <w:tcPr>
            <w:tcW w:type="pct" w:w="70%"/>
          </w:tcPr>
          <w:p>
            <w:pPr>
              <w:spacing w:after="60" w:before="60"/>
            </w:pPr>
            <w:r>
              <w:rPr>
                <w:rFonts w:ascii="Arial" w:cs="Arial" w:eastAsia="Arial" w:hAnsi="Arial"/>
                <w:sz w:val="22"/>
                <w:szCs w:val="22"/>
              </w:rPr>
              <w:t xml:space="preserve">Goes beyond traditional counselling and crisis response to address a root cause of emerging mental health stress before it escalates</w:t>
            </w:r>
          </w:p>
        </w:tc>
      </w:tr>
      <w:tr>
        <w:tc>
          <w:tcPr>
            <w:tcW w:type="pct" w:w="30%"/>
          </w:tcPr>
          <w:p>
            <w:pPr>
              <w:spacing w:after="60" w:before="60"/>
            </w:pPr>
            <w:r>
              <w:rPr>
                <w:rFonts w:ascii="Arial" w:cs="Arial" w:eastAsia="Arial" w:hAnsi="Arial"/>
                <w:b/>
                <w:bCs/>
                <w:i/>
                <w:iCs/>
                <w:sz w:val="22"/>
                <w:szCs w:val="22"/>
              </w:rPr>
              <w:t xml:space="preserve">Volunteer development</w:t>
            </w:r>
          </w:p>
        </w:tc>
        <w:tc>
          <w:tcPr>
            <w:tcW w:type="pct" w:w="70%"/>
          </w:tcPr>
          <w:p>
            <w:pPr>
              <w:spacing w:after="60" w:before="60"/>
            </w:pPr>
            <w:r>
              <w:rPr>
                <w:rFonts w:ascii="Arial" w:cs="Arial" w:eastAsia="Arial" w:hAnsi="Arial"/>
                <w:sz w:val="22"/>
                <w:szCs w:val="22"/>
              </w:rPr>
              <w:t xml:space="preserve">Gives volunteers meaningful new skills and a compelling narrative to share with their communities</w:t>
            </w:r>
          </w:p>
        </w:tc>
      </w:tr>
      <w:tr>
        <w:tc>
          <w:tcPr>
            <w:tcW w:type="pct" w:w="30%"/>
          </w:tcPr>
          <w:p>
            <w:pPr>
              <w:spacing w:after="60" w:before="60"/>
            </w:pPr>
            <w:r>
              <w:rPr>
                <w:rFonts w:ascii="Arial" w:cs="Arial" w:eastAsia="Arial" w:hAnsi="Arial"/>
                <w:b/>
                <w:bCs/>
                <w:i/>
                <w:iCs/>
                <w:sz w:val="22"/>
                <w:szCs w:val="22"/>
              </w:rPr>
              <w:t xml:space="preserve">Corporate partnerships</w:t>
            </w:r>
          </w:p>
        </w:tc>
        <w:tc>
          <w:tcPr>
            <w:tcW w:type="pct" w:w="70%"/>
          </w:tcPr>
          <w:p>
            <w:pPr>
              <w:spacing w:after="60" w:before="60"/>
            </w:pPr>
            <w:r>
              <w:rPr>
                <w:rFonts w:ascii="Arial" w:cs="Arial" w:eastAsia="Arial" w:hAnsi="Arial"/>
                <w:sz w:val="22"/>
                <w:szCs w:val="22"/>
              </w:rPr>
              <w:t xml:space="preserve">Opens a new engagement channel with corporates grappling with AI's impact on employee well-being</w:t>
            </w:r>
          </w:p>
        </w:tc>
      </w:tr>
      <w:tr>
        <w:tc>
          <w:tcPr>
            <w:tcW w:type="pct" w:w="30%"/>
          </w:tcPr>
          <w:p>
            <w:pPr>
              <w:spacing w:after="60" w:before="60"/>
            </w:pPr>
            <w:r>
              <w:rPr>
                <w:rFonts w:ascii="Arial" w:cs="Arial" w:eastAsia="Arial" w:hAnsi="Arial"/>
                <w:b/>
                <w:bCs/>
                <w:i/>
                <w:iCs/>
                <w:sz w:val="22"/>
                <w:szCs w:val="22"/>
              </w:rPr>
              <w:t xml:space="preserve">Regional leadership</w:t>
            </w:r>
          </w:p>
        </w:tc>
        <w:tc>
          <w:tcPr>
            <w:tcW w:type="pct" w:w="70%"/>
          </w:tcPr>
          <w:p>
            <w:pPr>
              <w:spacing w:after="60" w:before="60"/>
            </w:pPr>
            <w:r>
              <w:rPr>
                <w:rFonts w:ascii="Arial" w:cs="Arial" w:eastAsia="Arial" w:hAnsi="Arial"/>
                <w:sz w:val="22"/>
                <w:szCs w:val="22"/>
              </w:rPr>
              <w:t xml:space="preserve">Establishes Singapore Red Cross as a pioneer in the Red Cross / Red Crescent movement on AI and mental wellness</w:t>
            </w:r>
          </w:p>
        </w:tc>
      </w:tr>
      <w:tr>
        <w:tc>
          <w:tcPr>
            <w:tcW w:type="pct" w:w="30%"/>
          </w:tcPr>
          <w:p>
            <w:pPr>
              <w:spacing w:after="60" w:before="60"/>
            </w:pPr>
            <w:r>
              <w:rPr>
                <w:rFonts w:ascii="Arial" w:cs="Arial" w:eastAsia="Arial" w:hAnsi="Arial"/>
                <w:b/>
                <w:bCs/>
                <w:i/>
                <w:iCs/>
                <w:sz w:val="22"/>
                <w:szCs w:val="22"/>
              </w:rPr>
              <w:t xml:space="preserve">Measurable impact</w:t>
            </w:r>
          </w:p>
        </w:tc>
        <w:tc>
          <w:tcPr>
            <w:tcW w:type="pct" w:w="70%"/>
          </w:tcPr>
          <w:p>
            <w:pPr>
              <w:spacing w:after="60" w:before="60"/>
            </w:pPr>
            <w:r>
              <w:rPr>
                <w:rFonts w:ascii="Arial" w:cs="Arial" w:eastAsia="Arial" w:hAnsi="Arial"/>
                <w:sz w:val="22"/>
                <w:szCs w:val="22"/>
              </w:rPr>
              <w:t xml:space="preserve">Clear KPIs (participants, knowledge gains, behaviour change, satisfaction) aligned to organisational reporting standards</w:t>
            </w:r>
          </w:p>
        </w:tc>
      </w:tr>
      <w:tr>
        <w:tc>
          <w:tcPr>
            <w:tcW w:type="pct" w:w="30%"/>
          </w:tcPr>
          <w:p>
            <w:pPr>
              <w:spacing w:after="60" w:before="60"/>
            </w:pPr>
            <w:r>
              <w:rPr>
                <w:rFonts w:ascii="Arial" w:cs="Arial" w:eastAsia="Arial" w:hAnsi="Arial"/>
                <w:b/>
                <w:bCs/>
                <w:i/>
                <w:iCs/>
                <w:sz w:val="22"/>
                <w:szCs w:val="22"/>
              </w:rPr>
              <w:t xml:space="preserve">Knowledge leadership</w:t>
            </w:r>
          </w:p>
        </w:tc>
        <w:tc>
          <w:tcPr>
            <w:tcW w:type="pct" w:w="70%"/>
          </w:tcPr>
          <w:p>
            <w:pPr>
              <w:spacing w:after="60" w:before="60"/>
            </w:pPr>
            <w:r>
              <w:rPr>
                <w:rFonts w:ascii="Arial" w:cs="Arial" w:eastAsia="Arial" w:hAnsi="Arial"/>
                <w:sz w:val="22"/>
                <w:szCs w:val="22"/>
              </w:rPr>
              <w:t xml:space="preserve">Original research and frameworks shared with policymakers and international partners, extending Red Cross influence beyond programme delivery</w:t>
            </w:r>
          </w:p>
        </w:tc>
      </w:tr>
    </w:tbl>
    <w:p>
      <w:pPr>
        <w:pStyle w:val="Heading1"/>
        <w:spacing w:after="160" w:before="400"/>
      </w:pPr>
      <w:r>
        <w:rPr>
          <w:rFonts w:ascii="Arial" w:cs="Arial" w:eastAsia="Arial" w:hAnsi="Arial"/>
          <w:b/>
          <w:bCs/>
          <w:color w:val="1A3A5C"/>
          <w:sz w:val="32"/>
          <w:szCs w:val="32"/>
        </w:rPr>
        <w:t xml:space="preserve">9.  How It Would Be Delivered</w:t>
      </w:r>
    </w:p>
    <w:p>
      <w:pPr>
        <w:spacing w:after="80" w:before="80" w:line="360"/>
      </w:pPr>
      <w:r>
        <w:rPr>
          <w:rFonts w:ascii="Arial" w:cs="Arial" w:eastAsia="Arial" w:hAnsi="Arial"/>
          <w:sz w:val="22"/>
          <w:szCs w:val="22"/>
        </w:rPr>
        <w:t xml:space="preserve">The Centre would be delivered through a lean coordinating team working with the founding coalition and vetted facilitators, drawing on established curriculum design, child-safety, and AI-governance expertise. Programmes would be quality-assured against the safeguards outlined in Section 4, and progress reviewed at defined points during Launch Year 1 so that learning feeds directly into planning for Phase 2.</w:t>
      </w:r>
    </w:p>
    <w:p>
      <w:pPr>
        <w:spacing w:after="80" w:before="80" w:line="360"/>
      </w:pPr>
      <w:r>
        <w:rPr>
          <w:rFonts w:ascii="Arial" w:cs="Arial" w:eastAsia="Arial" w:hAnsi="Arial"/>
          <w:sz w:val="22"/>
          <w:szCs w:val="22"/>
        </w:rPr>
        <w:t xml:space="preserve">This phased, milestone-gated approach gives Singapore Red Cross a clear view of reach, quality, and governance before any decision to scale, keeping risk contained while the public ambition stays bold. A detailed delivery, staffing, and investment plan would be developed jointly once there is shared interest in proceeding.</w:t>
      </w:r>
    </w:p>
    <w:p>
      <w:pPr>
        <w:pStyle w:val="Heading1"/>
        <w:spacing w:after="160" w:before="400"/>
      </w:pPr>
      <w:r>
        <w:rPr>
          <w:rFonts w:ascii="Arial" w:cs="Arial" w:eastAsia="Arial" w:hAnsi="Arial"/>
          <w:b/>
          <w:bCs/>
          <w:color w:val="1A3A5C"/>
          <w:sz w:val="32"/>
          <w:szCs w:val="32"/>
        </w:rPr>
        <w:t xml:space="preserve">10.  What We Are Asking</w:t>
      </w:r>
    </w:p>
    <w:p>
      <w:pPr>
        <w:spacing w:after="80" w:before="80" w:line="360"/>
      </w:pPr>
      <w:r>
        <w:rPr>
          <w:rFonts w:ascii="Arial" w:cs="Arial" w:eastAsia="Arial" w:hAnsi="Arial"/>
          <w:sz w:val="22"/>
          <w:szCs w:val="22"/>
        </w:rPr>
        <w:t xml:space="preserve">At this stage, this is an invitation to explore — not a request for commitment.</w:t>
      </w:r>
    </w:p>
    <w:p>
      <w:pPr>
        <w:spacing w:after="80" w:before="80" w:line="360"/>
      </w:pPr>
      <w:r>
        <w:rPr>
          <w:rFonts w:ascii="Arial" w:cs="Arial" w:eastAsia="Arial" w:hAnsi="Arial"/>
          <w:sz w:val="22"/>
          <w:szCs w:val="22"/>
        </w:rPr>
        <w:t xml:space="preserve">We are asking Singapore Red Cross to:</w:t>
      </w:r>
    </w:p>
    <w:p>
      <w:pPr>
        <w:spacing w:after="60" w:before="60" w:line="360"/>
        <w:ind w:left="720"/>
      </w:pPr>
      <w:r>
        <w:rPr>
          <w:rFonts w:ascii="Arial" w:cs="Arial" w:eastAsia="Arial" w:hAnsi="Arial"/>
          <w:b/>
          <w:bCs/>
          <w:sz w:val="22"/>
          <w:szCs w:val="22"/>
        </w:rPr>
        <w:t xml:space="preserve">1.  </w:t>
      </w:r>
      <w:r>
        <w:rPr>
          <w:rFonts w:ascii="Arial" w:cs="Arial" w:eastAsia="Arial" w:hAnsi="Arial"/>
          <w:sz w:val="22"/>
          <w:szCs w:val="22"/>
        </w:rPr>
        <w:t xml:space="preserve">Consider the concept against current strategic priorities and the Mental Health pillar</w:t>
      </w:r>
    </w:p>
    <w:p>
      <w:pPr>
        <w:spacing w:after="60" w:before="60" w:line="360"/>
        <w:ind w:left="720"/>
      </w:pPr>
      <w:r>
        <w:rPr>
          <w:rFonts w:ascii="Arial" w:cs="Arial" w:eastAsia="Arial" w:hAnsi="Arial"/>
          <w:b/>
          <w:bCs/>
          <w:sz w:val="22"/>
          <w:szCs w:val="22"/>
        </w:rPr>
        <w:t xml:space="preserve">2.  </w:t>
      </w:r>
      <w:r>
        <w:rPr>
          <w:rFonts w:ascii="Arial" w:cs="Arial" w:eastAsia="Arial" w:hAnsi="Arial"/>
          <w:sz w:val="22"/>
          <w:szCs w:val="22"/>
        </w:rPr>
        <w:t xml:space="preserve">Identify a potential internal champion and brief them for a deeper discussion</w:t>
      </w:r>
    </w:p>
    <w:p>
      <w:pPr>
        <w:spacing w:after="60" w:before="60" w:line="360"/>
        <w:ind w:left="720"/>
      </w:pPr>
      <w:r>
        <w:rPr>
          <w:rFonts w:ascii="Arial" w:cs="Arial" w:eastAsia="Arial" w:hAnsi="Arial"/>
          <w:b/>
          <w:bCs/>
          <w:sz w:val="22"/>
          <w:szCs w:val="22"/>
        </w:rPr>
        <w:t xml:space="preserve">3.  </w:t>
      </w:r>
      <w:r>
        <w:rPr>
          <w:rFonts w:ascii="Arial" w:cs="Arial" w:eastAsia="Arial" w:hAnsi="Arial"/>
          <w:sz w:val="22"/>
          <w:szCs w:val="22"/>
        </w:rPr>
        <w:t xml:space="preserve">Hold an initial scoping conversation to test fit, refine focus, and identify any quick wins that could be initiated without significant resourcing</w:t>
      </w:r>
    </w:p>
    <w:p>
      <w:pPr>
        <w:spacing w:after="80" w:before="80" w:line="360"/>
      </w:pPr>
      <w:r>
        <w:rPr>
          <w:rFonts w:ascii="Arial" w:cs="Arial" w:eastAsia="Arial" w:hAnsi="Arial"/>
          <w:sz w:val="22"/>
          <w:szCs w:val="22"/>
        </w:rPr>
        <w:t xml:space="preserve">If the concept resonates, a detailed programme design, delivery model, and partnership framework would follow — structured to match Red Cross's governance standards and community-first operating principles.</w:t>
      </w:r>
    </w:p>
    <w:p>
      <w:pPr>
        <w:pBdr>
          <w:bottom w:val="single" w:color="CCCCCC" w:sz="6"/>
        </w:pBdr>
        <w:spacing w:after="120" w:before="120"/>
      </w:pPr>
    </w:p>
    <w:p>
      <w:pPr>
        <w:spacing w:after="0" w:before="200"/>
      </w:pPr>
    </w:p>
    <w:p>
      <w:pPr>
        <w:spacing w:after="60" w:before="0"/>
        <w:jc w:val="center"/>
      </w:pPr>
      <w:r>
        <w:rPr>
          <w:rFonts w:ascii="Arial" w:cs="Arial" w:eastAsia="Arial" w:hAnsi="Arial"/>
          <w:i/>
          <w:iCs/>
          <w:color w:val="888888"/>
          <w:sz w:val="18"/>
          <w:szCs w:val="18"/>
        </w:rPr>
        <w:t xml:space="preserve">— End of Concept Note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6"/>
      </w:pBdr>
      <w:spacing w:after="120" w:before="120"/>
    </w:pPr>
  </w:p>
  <w:p>
    <w:pPr>
      <w:spacing w:after="0" w:before="60"/>
      <w:jc w:val="center"/>
    </w:pPr>
    <w:r>
      <w:rPr>
        <w:rFonts w:ascii="Arial" w:cs="Arial" w:eastAsia="Arial" w:hAnsi="Arial"/>
        <w:color w:val="888888"/>
        <w:sz w:val="18"/>
        <w:szCs w:val="18"/>
      </w:rPr>
      <w:t xml:space="preserve">Concept Note — Prepared for internal circulation  |  </w:t>
    </w:r>
    <w:r>
      <w:rPr>
        <w:rFonts w:ascii="Arial" w:cs="Arial" w:eastAsia="Arial" w:hAnsi="Arial"/>
        <w:color w:val="888888"/>
        <w:sz w:val="18"/>
        <w:szCs w:val="18"/>
      </w:rPr>
      <w:t xml:space="preserve">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rPr>
        <w:rFonts w:ascii="Arial" w:cs="Arial" w:eastAsia="Arial" w:hAnsi="Arial"/>
        <w:b/>
        <w:bCs/>
        <w:color w:val="1A3A5C"/>
        <w:sz w:val="18"/>
        <w:szCs w:val="18"/>
      </w:rPr>
      <w:t xml:space="preserve">Global AI Centre of Excellence</w:t>
    </w:r>
  </w:p>
  <w:p>
    <w:pPr>
      <w:spacing w:after="0" w:before="0"/>
      <w:jc w:val="center"/>
    </w:pPr>
    <w:r>
      <w:rPr>
        <w:rFonts w:ascii="Arial" w:cs="Arial" w:eastAsia="Arial" w:hAnsi="Arial"/>
        <w:i/>
        <w:iCs/>
        <w:color w:val="666666"/>
        <w:sz w:val="16"/>
        <w:szCs w:val="16"/>
      </w:rPr>
      <w:t xml:space="preserve">AI for Mental Health &amp; Community Well-Being</w:t>
    </w:r>
  </w:p>
  <w:p>
    <w:pPr>
      <w:pBdr>
        <w:bottom w:val="single" w:color="CCCCCC" w:sz="6"/>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2026-09-09T13:37:46.884Z</dcterms:created>
  <dcterms:modified xsi:type="dcterms:W3CDTF">2026-09-09T13:37:46.885Z</dcterms:modified>
</cp:coreProperties>
</file>

<file path=docProps/custom.xml><?xml version="1.0" encoding="utf-8"?>
<Properties xmlns="http://schemas.openxmlformats.org/officeDocument/2006/custom-properties" xmlns:vt="http://schemas.openxmlformats.org/officeDocument/2006/docPropsVTypes"/>
</file>