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6E" w:rsidRDefault="001C3C6E" w:rsidP="00691680">
      <w:pPr>
        <w:pStyle w:val="ListParagraph"/>
        <w:numPr>
          <w:ilvl w:val="0"/>
          <w:numId w:val="1"/>
        </w:numPr>
        <w:ind w:left="72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Abstract</w:t>
      </w:r>
    </w:p>
    <w:p w:rsidR="001C3C6E" w:rsidRDefault="001C3C6E" w:rsidP="00691680">
      <w:pPr>
        <w:rPr>
          <w:rFonts w:ascii="Adobe Garamond Pro" w:hAnsi="Adobe Garamond Pro"/>
          <w:sz w:val="24"/>
          <w:szCs w:val="24"/>
        </w:rPr>
      </w:pPr>
      <w:bookmarkStart w:id="0" w:name="_GoBack"/>
      <w:bookmarkEnd w:id="0"/>
    </w:p>
    <w:p w:rsidR="001C3C6E" w:rsidRDefault="001C3C6E" w:rsidP="00691680">
      <w:pPr>
        <w:pStyle w:val="ListParagraph"/>
        <w:numPr>
          <w:ilvl w:val="0"/>
          <w:numId w:val="1"/>
        </w:numPr>
        <w:ind w:left="72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Introduction</w:t>
      </w:r>
    </w:p>
    <w:p w:rsidR="004360E6" w:rsidRDefault="00691680" w:rsidP="00691680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The country of Bangladesh lies on the Ganges-Brahmaputra</w:t>
      </w:r>
      <w:r w:rsidR="003E5A0A">
        <w:rPr>
          <w:rFonts w:ascii="Adobe Garamond Pro" w:hAnsi="Adobe Garamond Pro"/>
          <w:sz w:val="24"/>
          <w:szCs w:val="24"/>
        </w:rPr>
        <w:t xml:space="preserve"> (GB) </w:t>
      </w:r>
      <w:proofErr w:type="spellStart"/>
      <w:r w:rsidR="003E5A0A">
        <w:rPr>
          <w:rFonts w:ascii="Adobe Garamond Pro" w:hAnsi="Adobe Garamond Pro"/>
          <w:sz w:val="24"/>
          <w:szCs w:val="24"/>
        </w:rPr>
        <w:t>deltaplain</w:t>
      </w:r>
      <w:proofErr w:type="spellEnd"/>
      <w:r w:rsidR="003E5A0A">
        <w:rPr>
          <w:rFonts w:ascii="Adobe Garamond Pro" w:hAnsi="Adobe Garamond Pro"/>
          <w:sz w:val="24"/>
          <w:szCs w:val="24"/>
        </w:rPr>
        <w:t xml:space="preserve"> beneath the shadow of the Himalayas. The country is one of the most densely populated countries in the world with 156.6 million people living within an area of 147,500 km</w:t>
      </w:r>
      <w:r w:rsidR="003E5A0A">
        <w:rPr>
          <w:rFonts w:ascii="Adobe Garamond Pro" w:hAnsi="Adobe Garamond Pro"/>
          <w:sz w:val="24"/>
          <w:szCs w:val="24"/>
          <w:vertAlign w:val="superscript"/>
        </w:rPr>
        <w:t>2</w:t>
      </w:r>
      <w:r w:rsidR="003E5A0A">
        <w:rPr>
          <w:rFonts w:ascii="Adobe Garamond Pro" w:hAnsi="Adobe Garamond Pro"/>
          <w:sz w:val="24"/>
          <w:szCs w:val="24"/>
        </w:rPr>
        <w:t xml:space="preserve"> (approximately the size of Iowa). In the 1970s, surface water was w</w:t>
      </w:r>
      <w:r w:rsidR="00B40C1C">
        <w:rPr>
          <w:rFonts w:ascii="Adobe Garamond Pro" w:hAnsi="Adobe Garamond Pro"/>
          <w:sz w:val="24"/>
          <w:szCs w:val="24"/>
        </w:rPr>
        <w:t xml:space="preserve">idely abandoned for groundwater due to surface water contamination </w:t>
      </w:r>
      <w:r w:rsidR="006F48A0">
        <w:rPr>
          <w:rFonts w:ascii="Adobe Garamond Pro" w:hAnsi="Adobe Garamond Pro"/>
          <w:sz w:val="24"/>
          <w:szCs w:val="24"/>
        </w:rPr>
        <w:t xml:space="preserve">by </w:t>
      </w:r>
      <w:r w:rsidR="00B40C1C">
        <w:rPr>
          <w:rFonts w:ascii="Adobe Garamond Pro" w:hAnsi="Adobe Garamond Pro"/>
          <w:sz w:val="24"/>
          <w:szCs w:val="24"/>
        </w:rPr>
        <w:t>pathogens and industrial and organic pollutants. The consequences of this switch were not discovered until the mid-1990s. Nearly one-third of shallow wells in Bangladesh</w:t>
      </w:r>
      <w:r w:rsidR="000A10FB">
        <w:rPr>
          <w:rFonts w:ascii="Adobe Garamond Pro" w:hAnsi="Adobe Garamond Pro"/>
          <w:sz w:val="24"/>
          <w:szCs w:val="24"/>
        </w:rPr>
        <w:t xml:space="preserve"> are contaminated with naturally occurring arsenic. These wells</w:t>
      </w:r>
      <w:r w:rsidR="00B40C1C">
        <w:rPr>
          <w:rFonts w:ascii="Adobe Garamond Pro" w:hAnsi="Adobe Garamond Pro"/>
          <w:sz w:val="24"/>
          <w:szCs w:val="24"/>
        </w:rPr>
        <w:t xml:space="preserve"> exceed the Bangladesh drinking water standard of 50 µg l</w:t>
      </w:r>
      <w:r w:rsidR="00B40C1C">
        <w:rPr>
          <w:rFonts w:ascii="Adobe Garamond Pro" w:hAnsi="Adobe Garamond Pro"/>
          <w:sz w:val="24"/>
          <w:szCs w:val="24"/>
          <w:vertAlign w:val="superscript"/>
        </w:rPr>
        <w:t>-1</w:t>
      </w:r>
      <w:r w:rsidR="00B40C1C">
        <w:rPr>
          <w:rFonts w:ascii="Adobe Garamond Pro" w:hAnsi="Adobe Garamond Pro"/>
          <w:sz w:val="24"/>
          <w:szCs w:val="24"/>
        </w:rPr>
        <w:t xml:space="preserve"> and</w:t>
      </w:r>
      <w:r w:rsidR="000A10FB">
        <w:rPr>
          <w:rFonts w:ascii="Adobe Garamond Pro" w:hAnsi="Adobe Garamond Pro"/>
          <w:sz w:val="24"/>
          <w:szCs w:val="24"/>
        </w:rPr>
        <w:t xml:space="preserve"> </w:t>
      </w:r>
      <w:r w:rsidR="004360E6">
        <w:rPr>
          <w:rFonts w:ascii="Adobe Garamond Pro" w:hAnsi="Adobe Garamond Pro"/>
          <w:sz w:val="24"/>
          <w:szCs w:val="24"/>
        </w:rPr>
        <w:t>almost half</w:t>
      </w:r>
      <w:r w:rsidR="000A10FB">
        <w:rPr>
          <w:rFonts w:ascii="Adobe Garamond Pro" w:hAnsi="Adobe Garamond Pro"/>
          <w:sz w:val="24"/>
          <w:szCs w:val="24"/>
        </w:rPr>
        <w:t xml:space="preserve"> </w:t>
      </w:r>
      <w:r w:rsidR="00B40C1C">
        <w:rPr>
          <w:rFonts w:ascii="Adobe Garamond Pro" w:hAnsi="Adobe Garamond Pro"/>
          <w:sz w:val="24"/>
          <w:szCs w:val="24"/>
        </w:rPr>
        <w:t>exceed the World Health Organization standard of 10 µg l</w:t>
      </w:r>
      <w:r w:rsidR="00B40C1C">
        <w:rPr>
          <w:rFonts w:ascii="Adobe Garamond Pro" w:hAnsi="Adobe Garamond Pro"/>
          <w:sz w:val="24"/>
          <w:szCs w:val="24"/>
          <w:vertAlign w:val="superscript"/>
        </w:rPr>
        <w:t xml:space="preserve">-1 </w:t>
      </w:r>
      <w:r w:rsidR="00B40C1C">
        <w:rPr>
          <w:rFonts w:ascii="Adobe Garamond Pro" w:hAnsi="Adobe Garamond Pro"/>
          <w:sz w:val="24"/>
          <w:szCs w:val="24"/>
        </w:rPr>
        <w:t xml:space="preserve">(BGS 2001; </w:t>
      </w:r>
      <w:proofErr w:type="spellStart"/>
      <w:r w:rsidR="00B40C1C">
        <w:rPr>
          <w:rFonts w:ascii="Adobe Garamond Pro" w:hAnsi="Adobe Garamond Pro"/>
          <w:sz w:val="24"/>
          <w:szCs w:val="24"/>
        </w:rPr>
        <w:t>Kinniburgh</w:t>
      </w:r>
      <w:proofErr w:type="spellEnd"/>
      <w:r w:rsidR="000A10FB">
        <w:rPr>
          <w:rFonts w:ascii="Adobe Garamond Pro" w:hAnsi="Adobe Garamond Pro"/>
          <w:sz w:val="24"/>
          <w:szCs w:val="24"/>
        </w:rPr>
        <w:t xml:space="preserve"> and </w:t>
      </w:r>
      <w:proofErr w:type="spellStart"/>
      <w:r w:rsidR="000A10FB">
        <w:rPr>
          <w:rFonts w:ascii="Adobe Garamond Pro" w:hAnsi="Adobe Garamond Pro"/>
          <w:sz w:val="24"/>
          <w:szCs w:val="24"/>
        </w:rPr>
        <w:t>Kosmus</w:t>
      </w:r>
      <w:proofErr w:type="spellEnd"/>
      <w:r w:rsidR="00B40C1C">
        <w:rPr>
          <w:rFonts w:ascii="Adobe Garamond Pro" w:hAnsi="Adobe Garamond Pro"/>
          <w:sz w:val="24"/>
          <w:szCs w:val="24"/>
        </w:rPr>
        <w:t>, 2002; WHO, 2011).</w:t>
      </w:r>
      <w:r w:rsidR="00291E07">
        <w:rPr>
          <w:rFonts w:ascii="Adobe Garamond Pro" w:hAnsi="Adobe Garamond Pro"/>
          <w:sz w:val="24"/>
          <w:szCs w:val="24"/>
        </w:rPr>
        <w:t xml:space="preserve"> Sustained low-doses of arsenic above these thresholds can lead to lead to </w:t>
      </w:r>
      <w:proofErr w:type="spellStart"/>
      <w:r w:rsidR="00291E07">
        <w:rPr>
          <w:rFonts w:ascii="Adobe Garamond Pro" w:hAnsi="Adobe Garamond Pro"/>
          <w:sz w:val="24"/>
          <w:szCs w:val="24"/>
        </w:rPr>
        <w:t>arsenicosis</w:t>
      </w:r>
      <w:proofErr w:type="spellEnd"/>
      <w:r w:rsidR="00291E07">
        <w:rPr>
          <w:rFonts w:ascii="Adobe Garamond Pro" w:hAnsi="Adobe Garamond Pro"/>
          <w:sz w:val="24"/>
          <w:szCs w:val="24"/>
        </w:rPr>
        <w:t xml:space="preserve"> </w:t>
      </w:r>
      <w:r w:rsidR="000A10FB">
        <w:rPr>
          <w:rFonts w:ascii="Adobe Garamond Pro" w:hAnsi="Adobe Garamond Pro"/>
          <w:sz w:val="24"/>
          <w:szCs w:val="24"/>
        </w:rPr>
        <w:t>and a variety of related cancers (WHO, 2011).</w:t>
      </w:r>
      <w:r w:rsidR="005F52C7">
        <w:rPr>
          <w:rFonts w:ascii="Adobe Garamond Pro" w:hAnsi="Adobe Garamond Pro"/>
          <w:sz w:val="24"/>
          <w:szCs w:val="24"/>
        </w:rPr>
        <w:t xml:space="preserve"> </w:t>
      </w:r>
      <w:r w:rsidR="004360E6">
        <w:rPr>
          <w:rFonts w:ascii="Adobe Garamond Pro" w:hAnsi="Adobe Garamond Pro"/>
          <w:sz w:val="24"/>
          <w:szCs w:val="24"/>
        </w:rPr>
        <w:t>However, there are no good alternatives to drinking water. There is a need to be able to predict arsenic contamination more effectively. Successful prediction will allow better resource allocation to help solve the widespread problem of arsenic contamination.</w:t>
      </w:r>
      <w:r w:rsidR="00DF5E8A">
        <w:rPr>
          <w:rFonts w:ascii="Adobe Garamond Pro" w:hAnsi="Adobe Garamond Pro"/>
          <w:sz w:val="24"/>
          <w:szCs w:val="24"/>
        </w:rPr>
        <w:t xml:space="preserve"> Here, we attempt to predict arsenic concentration as a function of well depth, longitude, and latitude.</w:t>
      </w:r>
    </w:p>
    <w:p w:rsidR="001C3C6E" w:rsidRDefault="001C3C6E" w:rsidP="00691680">
      <w:pPr>
        <w:pStyle w:val="ListParagraph"/>
        <w:numPr>
          <w:ilvl w:val="0"/>
          <w:numId w:val="1"/>
        </w:numPr>
        <w:ind w:left="72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Literature Review</w:t>
      </w:r>
    </w:p>
    <w:p w:rsidR="005F52C7" w:rsidRPr="005F52C7" w:rsidRDefault="005F52C7" w:rsidP="005F52C7">
      <w:pPr>
        <w:rPr>
          <w:rFonts w:ascii="Adobe Garamond Pro" w:hAnsi="Adobe Garamond Pro"/>
          <w:sz w:val="24"/>
          <w:szCs w:val="24"/>
        </w:rPr>
      </w:pPr>
      <w:r w:rsidRPr="005F52C7">
        <w:rPr>
          <w:rFonts w:ascii="Adobe Garamond Pro" w:hAnsi="Adobe Garamond Pro"/>
          <w:sz w:val="24"/>
          <w:szCs w:val="24"/>
        </w:rPr>
        <w:t xml:space="preserve">There has been much research into the geochemical modeling of arsenic mobility within the delta (Harvey et al., 2002; Ravenscroft et al., 2005; </w:t>
      </w:r>
      <w:proofErr w:type="spellStart"/>
      <w:r w:rsidRPr="005F52C7">
        <w:rPr>
          <w:rFonts w:ascii="Adobe Garamond Pro" w:hAnsi="Adobe Garamond Pro"/>
          <w:sz w:val="24"/>
          <w:szCs w:val="24"/>
        </w:rPr>
        <w:t>Fendorf</w:t>
      </w:r>
      <w:proofErr w:type="spellEnd"/>
      <w:r w:rsidRPr="005F52C7">
        <w:rPr>
          <w:rFonts w:ascii="Adobe Garamond Pro" w:hAnsi="Adobe Garamond Pro"/>
          <w:sz w:val="24"/>
          <w:szCs w:val="24"/>
        </w:rPr>
        <w:t xml:space="preserve"> et al., 2010) which has elucidated the larger scale spatial patterns of arsenic contamination. However, on a local scale, it is still quite difficult to predict arsenic occurrence. Anecdotally, wells separated by as little as 10 m at a similar depth can have vastly different arsenic concentrations. Some research (</w:t>
      </w:r>
      <w:proofErr w:type="spellStart"/>
      <w:r w:rsidRPr="005F52C7">
        <w:rPr>
          <w:rFonts w:ascii="Adobe Garamond Pro" w:hAnsi="Adobe Garamond Pro"/>
          <w:sz w:val="24"/>
          <w:szCs w:val="24"/>
        </w:rPr>
        <w:t>Gelman</w:t>
      </w:r>
      <w:proofErr w:type="spellEnd"/>
      <w:r w:rsidRPr="005F52C7">
        <w:rPr>
          <w:rFonts w:ascii="Adobe Garamond Pro" w:hAnsi="Adobe Garamond Pro"/>
          <w:sz w:val="24"/>
          <w:szCs w:val="24"/>
        </w:rPr>
        <w:t xml:space="preserve"> et al., 2004; </w:t>
      </w:r>
      <w:proofErr w:type="spellStart"/>
      <w:r w:rsidRPr="005F52C7">
        <w:rPr>
          <w:rFonts w:ascii="Adobe Garamond Pro" w:hAnsi="Adobe Garamond Pro"/>
          <w:sz w:val="24"/>
          <w:szCs w:val="24"/>
        </w:rPr>
        <w:t>Winkel</w:t>
      </w:r>
      <w:proofErr w:type="spellEnd"/>
      <w:r w:rsidRPr="005F52C7">
        <w:rPr>
          <w:rFonts w:ascii="Adobe Garamond Pro" w:hAnsi="Adobe Garamond Pro"/>
          <w:sz w:val="24"/>
          <w:szCs w:val="24"/>
        </w:rPr>
        <w:t xml:space="preserve"> et al., 2008) have attempted to predict groundwater arsenic contamination, but most are either at a very local or regional scale.</w:t>
      </w:r>
      <w:r w:rsidR="00DF5E8A">
        <w:rPr>
          <w:rFonts w:ascii="Adobe Garamond Pro" w:hAnsi="Adobe Garamond Pro"/>
          <w:sz w:val="24"/>
          <w:szCs w:val="24"/>
        </w:rPr>
        <w:t xml:space="preserve"> There has been very little work on large scale prediction of arsenic in the delta. Studies have attempted to characterize the arsenic contamination through direct measurement (BGS, 2001)</w:t>
      </w:r>
    </w:p>
    <w:p w:rsidR="001C3C6E" w:rsidRDefault="002C5698" w:rsidP="00691680">
      <w:pPr>
        <w:pStyle w:val="ListParagraph"/>
        <w:numPr>
          <w:ilvl w:val="0"/>
          <w:numId w:val="1"/>
        </w:numPr>
        <w:ind w:left="72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Modeling Arsenic Concentration</w:t>
      </w:r>
    </w:p>
    <w:p w:rsidR="004A36D3" w:rsidRDefault="0005053B" w:rsidP="00691680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Here, we use the Bangladesh Arsenic Mitigation and Water Supply Program (BAMSWP) dataset</w:t>
      </w:r>
      <w:r w:rsidR="00B676B8">
        <w:rPr>
          <w:rFonts w:ascii="Adobe Garamond Pro" w:hAnsi="Adobe Garamond Pro"/>
          <w:sz w:val="24"/>
          <w:szCs w:val="24"/>
        </w:rPr>
        <w:t xml:space="preserve"> (n=4.69x10</w:t>
      </w:r>
      <w:r w:rsidR="00B676B8">
        <w:rPr>
          <w:rFonts w:ascii="Adobe Garamond Pro" w:hAnsi="Adobe Garamond Pro"/>
          <w:sz w:val="24"/>
          <w:szCs w:val="24"/>
          <w:vertAlign w:val="superscript"/>
        </w:rPr>
        <w:t>6</w:t>
      </w:r>
      <w:r w:rsidR="00B676B8">
        <w:rPr>
          <w:rFonts w:ascii="Adobe Garamond Pro" w:hAnsi="Adobe Garamond Pro"/>
          <w:sz w:val="24"/>
          <w:szCs w:val="24"/>
        </w:rPr>
        <w:t>)</w:t>
      </w:r>
      <w:r>
        <w:rPr>
          <w:rFonts w:ascii="Adobe Garamond Pro" w:hAnsi="Adobe Garamond Pro"/>
          <w:sz w:val="24"/>
          <w:szCs w:val="24"/>
        </w:rPr>
        <w:t xml:space="preserve"> of field kit measurements of arsenic concentrations in groundwater</w:t>
      </w:r>
      <w:r w:rsidR="000C132E">
        <w:rPr>
          <w:rFonts w:ascii="Adobe Garamond Pro" w:hAnsi="Adobe Garamond Pro"/>
          <w:sz w:val="24"/>
          <w:szCs w:val="24"/>
        </w:rPr>
        <w:t xml:space="preserve">. We attempt to build </w:t>
      </w:r>
      <w:r w:rsidR="003A11A9">
        <w:rPr>
          <w:rFonts w:ascii="Adobe Garamond Pro" w:hAnsi="Adobe Garamond Pro"/>
          <w:sz w:val="24"/>
          <w:szCs w:val="24"/>
        </w:rPr>
        <w:t>various</w:t>
      </w:r>
      <w:r w:rsidR="000C132E">
        <w:rPr>
          <w:rFonts w:ascii="Adobe Garamond Pro" w:hAnsi="Adobe Garamond Pro"/>
          <w:sz w:val="24"/>
          <w:szCs w:val="24"/>
        </w:rPr>
        <w:t xml:space="preserve"> types of </w:t>
      </w:r>
      <w:r w:rsidR="003A11A9">
        <w:rPr>
          <w:rFonts w:ascii="Adobe Garamond Pro" w:hAnsi="Adobe Garamond Pro"/>
          <w:sz w:val="24"/>
          <w:szCs w:val="24"/>
        </w:rPr>
        <w:t xml:space="preserve">multiple </w:t>
      </w:r>
      <w:r w:rsidR="000C132E">
        <w:rPr>
          <w:rFonts w:ascii="Adobe Garamond Pro" w:hAnsi="Adobe Garamond Pro"/>
          <w:sz w:val="24"/>
          <w:szCs w:val="24"/>
        </w:rPr>
        <w:t>regression models to predict arsenic content bas</w:t>
      </w:r>
      <w:r w:rsidR="004A36D3">
        <w:rPr>
          <w:rFonts w:ascii="Adobe Garamond Pro" w:hAnsi="Adobe Garamond Pro"/>
          <w:sz w:val="24"/>
          <w:szCs w:val="24"/>
        </w:rPr>
        <w:t>ed on three predictors – longitude, latitude, and depth of the well.</w:t>
      </w:r>
    </w:p>
    <w:p w:rsidR="004A36D3" w:rsidRDefault="004A36D3" w:rsidP="00691680">
      <w:pPr>
        <w:rPr>
          <w:rFonts w:ascii="Adobe Garamond Pro" w:hAnsi="Adobe Garamond Pro"/>
          <w:i/>
          <w:sz w:val="24"/>
          <w:szCs w:val="24"/>
        </w:rPr>
      </w:pPr>
      <w:r>
        <w:rPr>
          <w:rFonts w:ascii="Adobe Garamond Pro" w:hAnsi="Adobe Garamond Pro"/>
          <w:i/>
          <w:sz w:val="24"/>
          <w:szCs w:val="24"/>
        </w:rPr>
        <w:t>Bangladesh Arsenic Mitigation and Water Supply Program Dataset</w:t>
      </w:r>
    </w:p>
    <w:p w:rsidR="00122705" w:rsidRDefault="004A36D3" w:rsidP="00691680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The BAMWSP dataset contains arsenic concentration for </w:t>
      </w:r>
      <w:r w:rsidR="00B676B8">
        <w:rPr>
          <w:rFonts w:ascii="Adobe Garamond Pro" w:hAnsi="Adobe Garamond Pro"/>
          <w:sz w:val="24"/>
          <w:szCs w:val="24"/>
        </w:rPr>
        <w:t>~</w:t>
      </w:r>
      <w:r>
        <w:rPr>
          <w:rFonts w:ascii="Adobe Garamond Pro" w:hAnsi="Adobe Garamond Pro"/>
          <w:sz w:val="24"/>
          <w:szCs w:val="24"/>
        </w:rPr>
        <w:t>5 million wells throughout the country of Bangladesh. The data</w:t>
      </w:r>
      <w:r w:rsidR="0055411A">
        <w:rPr>
          <w:rFonts w:ascii="Adobe Garamond Pro" w:hAnsi="Adobe Garamond Pro"/>
          <w:sz w:val="24"/>
          <w:szCs w:val="24"/>
        </w:rPr>
        <w:t xml:space="preserve"> only</w:t>
      </w:r>
      <w:r>
        <w:rPr>
          <w:rFonts w:ascii="Adobe Garamond Pro" w:hAnsi="Adobe Garamond Pro"/>
          <w:sz w:val="24"/>
          <w:szCs w:val="24"/>
        </w:rPr>
        <w:t xml:space="preserve"> includes the well depth (</w:t>
      </w:r>
      <w:proofErr w:type="spellStart"/>
      <w:r>
        <w:rPr>
          <w:rFonts w:ascii="Adobe Garamond Pro" w:hAnsi="Adobe Garamond Pro"/>
          <w:sz w:val="24"/>
          <w:szCs w:val="24"/>
        </w:rPr>
        <w:t>ft</w:t>
      </w:r>
      <w:proofErr w:type="spellEnd"/>
      <w:r>
        <w:rPr>
          <w:rFonts w:ascii="Adobe Garamond Pro" w:hAnsi="Adobe Garamond Pro"/>
          <w:sz w:val="24"/>
          <w:szCs w:val="24"/>
        </w:rPr>
        <w:t>), arsenic conc</w:t>
      </w:r>
      <w:r w:rsidR="00A27F32">
        <w:rPr>
          <w:rFonts w:ascii="Adobe Garamond Pro" w:hAnsi="Adobe Garamond Pro"/>
          <w:sz w:val="24"/>
          <w:szCs w:val="24"/>
        </w:rPr>
        <w:t xml:space="preserve">entration (ppb), and geocode. </w:t>
      </w:r>
      <w:r>
        <w:rPr>
          <w:rFonts w:ascii="Adobe Garamond Pro" w:hAnsi="Adobe Garamond Pro"/>
          <w:sz w:val="24"/>
          <w:szCs w:val="24"/>
        </w:rPr>
        <w:t xml:space="preserve">The geocodes </w:t>
      </w:r>
      <w:r w:rsidR="00A27F32">
        <w:rPr>
          <w:rFonts w:ascii="Adobe Garamond Pro" w:hAnsi="Adobe Garamond Pro"/>
          <w:sz w:val="24"/>
          <w:szCs w:val="24"/>
        </w:rPr>
        <w:t xml:space="preserve">are a derived unit to describe nested administrative </w:t>
      </w:r>
      <w:r w:rsidR="00B676B8">
        <w:rPr>
          <w:rFonts w:ascii="Adobe Garamond Pro" w:hAnsi="Adobe Garamond Pro"/>
          <w:sz w:val="24"/>
          <w:szCs w:val="24"/>
        </w:rPr>
        <w:t>units</w:t>
      </w:r>
      <w:r w:rsidR="00A27F32">
        <w:rPr>
          <w:rFonts w:ascii="Adobe Garamond Pro" w:hAnsi="Adobe Garamond Pro"/>
          <w:sz w:val="24"/>
          <w:szCs w:val="24"/>
        </w:rPr>
        <w:t xml:space="preserve"> in Bangladesh. </w:t>
      </w:r>
      <w:r w:rsidR="004B3462">
        <w:rPr>
          <w:rFonts w:ascii="Adobe Garamond Pro" w:hAnsi="Adobe Garamond Pro"/>
          <w:sz w:val="24"/>
          <w:szCs w:val="24"/>
        </w:rPr>
        <w:t xml:space="preserve">These geocodes are associated </w:t>
      </w:r>
      <w:r>
        <w:rPr>
          <w:rFonts w:ascii="Adobe Garamond Pro" w:hAnsi="Adobe Garamond Pro"/>
          <w:sz w:val="24"/>
          <w:szCs w:val="24"/>
        </w:rPr>
        <w:t xml:space="preserve">with </w:t>
      </w:r>
      <w:r w:rsidR="004B3462">
        <w:rPr>
          <w:rFonts w:ascii="Adobe Garamond Pro" w:hAnsi="Adobe Garamond Pro"/>
          <w:sz w:val="24"/>
          <w:szCs w:val="24"/>
        </w:rPr>
        <w:t xml:space="preserve">the </w:t>
      </w:r>
      <w:proofErr w:type="spellStart"/>
      <w:r w:rsidR="004B3462">
        <w:rPr>
          <w:rFonts w:ascii="Adobe Garamond Pro" w:hAnsi="Adobe Garamond Pro"/>
          <w:sz w:val="24"/>
          <w:szCs w:val="24"/>
        </w:rPr>
        <w:t>mouza</w:t>
      </w:r>
      <w:proofErr w:type="spellEnd"/>
      <w:r w:rsidR="004B3462">
        <w:rPr>
          <w:rFonts w:ascii="Adobe Garamond Pro" w:hAnsi="Adobe Garamond Pro"/>
          <w:sz w:val="24"/>
          <w:szCs w:val="24"/>
        </w:rPr>
        <w:t xml:space="preserve"> or township </w:t>
      </w:r>
      <w:r w:rsidR="00B676B8">
        <w:rPr>
          <w:rFonts w:ascii="Adobe Garamond Pro" w:hAnsi="Adobe Garamond Pro"/>
          <w:sz w:val="24"/>
          <w:szCs w:val="24"/>
        </w:rPr>
        <w:t>unit</w:t>
      </w:r>
      <w:r w:rsidR="004B3462">
        <w:rPr>
          <w:rFonts w:ascii="Adobe Garamond Pro" w:hAnsi="Adobe Garamond Pro"/>
          <w:sz w:val="24"/>
          <w:szCs w:val="24"/>
        </w:rPr>
        <w:t>.</w:t>
      </w:r>
      <w:r>
        <w:rPr>
          <w:rFonts w:ascii="Adobe Garamond Pro" w:hAnsi="Adobe Garamond Pro"/>
          <w:sz w:val="24"/>
          <w:szCs w:val="24"/>
        </w:rPr>
        <w:t xml:space="preserve"> In order to assign a more definitive x and y location for wells, we assign the longitude and latitude of the </w:t>
      </w:r>
      <w:proofErr w:type="spellStart"/>
      <w:r>
        <w:rPr>
          <w:rFonts w:ascii="Adobe Garamond Pro" w:hAnsi="Adobe Garamond Pro"/>
          <w:sz w:val="24"/>
          <w:szCs w:val="24"/>
        </w:rPr>
        <w:t>mouza</w:t>
      </w:r>
      <w:proofErr w:type="spellEnd"/>
      <w:r>
        <w:rPr>
          <w:rFonts w:ascii="Adobe Garamond Pro" w:hAnsi="Adobe Garamond Pro"/>
          <w:sz w:val="24"/>
          <w:szCs w:val="24"/>
        </w:rPr>
        <w:t xml:space="preserve"> </w:t>
      </w:r>
      <w:r>
        <w:rPr>
          <w:rFonts w:ascii="Adobe Garamond Pro" w:hAnsi="Adobe Garamond Pro"/>
          <w:sz w:val="24"/>
          <w:szCs w:val="24"/>
        </w:rPr>
        <w:lastRenderedPageBreak/>
        <w:t xml:space="preserve">centroid to the wells </w:t>
      </w:r>
      <w:r w:rsidR="00B676B8">
        <w:rPr>
          <w:rFonts w:ascii="Adobe Garamond Pro" w:hAnsi="Adobe Garamond Pro"/>
          <w:sz w:val="24"/>
          <w:szCs w:val="24"/>
        </w:rPr>
        <w:t xml:space="preserve">within each </w:t>
      </w:r>
      <w:proofErr w:type="spellStart"/>
      <w:r w:rsidR="00B676B8">
        <w:rPr>
          <w:rFonts w:ascii="Adobe Garamond Pro" w:hAnsi="Adobe Garamond Pro"/>
          <w:sz w:val="24"/>
          <w:szCs w:val="24"/>
        </w:rPr>
        <w:t>mouza</w:t>
      </w:r>
      <w:proofErr w:type="spellEnd"/>
      <w:r>
        <w:rPr>
          <w:rFonts w:ascii="Adobe Garamond Pro" w:hAnsi="Adobe Garamond Pro"/>
          <w:sz w:val="24"/>
          <w:szCs w:val="24"/>
        </w:rPr>
        <w:t>. This results in many wells having t</w:t>
      </w:r>
      <w:r w:rsidR="00130111">
        <w:rPr>
          <w:rFonts w:ascii="Adobe Garamond Pro" w:hAnsi="Adobe Garamond Pro"/>
          <w:sz w:val="24"/>
          <w:szCs w:val="24"/>
        </w:rPr>
        <w:t>he same longitude and lat</w:t>
      </w:r>
      <w:r w:rsidR="00FA1FAD">
        <w:rPr>
          <w:rFonts w:ascii="Adobe Garamond Pro" w:hAnsi="Adobe Garamond Pro"/>
          <w:sz w:val="24"/>
          <w:szCs w:val="24"/>
        </w:rPr>
        <w:t>itude.</w:t>
      </w:r>
      <w:r w:rsidR="00B676B8">
        <w:rPr>
          <w:rFonts w:ascii="Adobe Garamond Pro" w:hAnsi="Adobe Garamond Pro"/>
          <w:sz w:val="24"/>
          <w:szCs w:val="24"/>
        </w:rPr>
        <w:t xml:space="preserve"> </w:t>
      </w:r>
      <w:r w:rsidR="00130111">
        <w:rPr>
          <w:rFonts w:ascii="Adobe Garamond Pro" w:hAnsi="Adobe Garamond Pro"/>
          <w:sz w:val="24"/>
          <w:szCs w:val="24"/>
        </w:rPr>
        <w:t xml:space="preserve">We then filter errant data points (i.e. unrealistic values for predictors) and NAs by removing the </w:t>
      </w:r>
      <w:r w:rsidR="00DE7BDF">
        <w:rPr>
          <w:rFonts w:ascii="Adobe Garamond Pro" w:hAnsi="Adobe Garamond Pro"/>
          <w:sz w:val="24"/>
          <w:szCs w:val="24"/>
        </w:rPr>
        <w:t xml:space="preserve">entire observation. We also added binary response variables for </w:t>
      </w:r>
      <w:proofErr w:type="gramStart"/>
      <w:r w:rsidR="00DE7BDF">
        <w:rPr>
          <w:rFonts w:ascii="Adobe Garamond Pro" w:hAnsi="Adobe Garamond Pro"/>
          <w:sz w:val="24"/>
          <w:szCs w:val="24"/>
        </w:rPr>
        <w:t>As</w:t>
      </w:r>
      <w:proofErr w:type="gramEnd"/>
      <w:r w:rsidR="00DE7BDF">
        <w:rPr>
          <w:rFonts w:ascii="Adobe Garamond Pro" w:hAnsi="Adobe Garamond Pro"/>
          <w:sz w:val="24"/>
          <w:szCs w:val="24"/>
        </w:rPr>
        <w:t xml:space="preserve"> &gt; 10 ppb, As &gt; 50 ppb, and log(As)</w:t>
      </w:r>
      <w:r w:rsidR="00130111">
        <w:rPr>
          <w:rFonts w:ascii="Adobe Garamond Pro" w:hAnsi="Adobe Garamond Pro"/>
          <w:sz w:val="24"/>
          <w:szCs w:val="24"/>
        </w:rPr>
        <w:t>. The final dataset contains arsenic concentration</w:t>
      </w:r>
      <w:r w:rsidR="00DE7BDF">
        <w:rPr>
          <w:rFonts w:ascii="Adobe Garamond Pro" w:hAnsi="Adobe Garamond Pro"/>
          <w:sz w:val="24"/>
          <w:szCs w:val="24"/>
        </w:rPr>
        <w:t xml:space="preserve"> both categorical and continuous</w:t>
      </w:r>
      <w:r w:rsidR="00122705">
        <w:rPr>
          <w:rFonts w:ascii="Adobe Garamond Pro" w:hAnsi="Adobe Garamond Pro"/>
          <w:sz w:val="24"/>
          <w:szCs w:val="24"/>
        </w:rPr>
        <w:t>,</w:t>
      </w:r>
      <w:r w:rsidR="00130111">
        <w:rPr>
          <w:rFonts w:ascii="Adobe Garamond Pro" w:hAnsi="Adobe Garamond Pro"/>
          <w:sz w:val="24"/>
          <w:szCs w:val="24"/>
        </w:rPr>
        <w:t xml:space="preserve"> well depth (</w:t>
      </w:r>
      <w:proofErr w:type="spellStart"/>
      <w:r w:rsidR="00130111">
        <w:rPr>
          <w:rFonts w:ascii="Adobe Garamond Pro" w:hAnsi="Adobe Garamond Pro"/>
          <w:sz w:val="24"/>
          <w:szCs w:val="24"/>
        </w:rPr>
        <w:t>ft</w:t>
      </w:r>
      <w:proofErr w:type="spellEnd"/>
      <w:r w:rsidR="00130111">
        <w:rPr>
          <w:rFonts w:ascii="Adobe Garamond Pro" w:hAnsi="Adobe Garamond Pro"/>
          <w:sz w:val="24"/>
          <w:szCs w:val="24"/>
        </w:rPr>
        <w:t xml:space="preserve">), longitude, and </w:t>
      </w:r>
      <w:r w:rsidR="00122705">
        <w:rPr>
          <w:rFonts w:ascii="Adobe Garamond Pro" w:hAnsi="Adobe Garamond Pro"/>
          <w:sz w:val="24"/>
          <w:szCs w:val="24"/>
        </w:rPr>
        <w:t>latitude (Table 1).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22705" w:rsidTr="00122705">
        <w:trPr>
          <w:jc w:val="center"/>
        </w:trPr>
        <w:tc>
          <w:tcPr>
            <w:tcW w:w="5342" w:type="dxa"/>
            <w:gridSpan w:val="4"/>
          </w:tcPr>
          <w:p w:rsidR="00122705" w:rsidRPr="00122705" w:rsidRDefault="00122705" w:rsidP="00122705">
            <w:pPr>
              <w:jc w:val="center"/>
            </w:pPr>
            <w:r w:rsidRPr="00122705">
              <w:t>Response Variables</w:t>
            </w:r>
          </w:p>
        </w:tc>
        <w:tc>
          <w:tcPr>
            <w:tcW w:w="4008" w:type="dxa"/>
            <w:gridSpan w:val="3"/>
          </w:tcPr>
          <w:p w:rsidR="00122705" w:rsidRPr="00122705" w:rsidRDefault="00122705" w:rsidP="00122705">
            <w:pPr>
              <w:jc w:val="center"/>
            </w:pPr>
            <w:r w:rsidRPr="00122705">
              <w:t>Predictor Variables</w:t>
            </w:r>
          </w:p>
        </w:tc>
      </w:tr>
      <w:tr w:rsidR="00122705" w:rsidTr="00122705">
        <w:trPr>
          <w:jc w:val="center"/>
        </w:trPr>
        <w:tc>
          <w:tcPr>
            <w:tcW w:w="1335" w:type="dxa"/>
          </w:tcPr>
          <w:p w:rsidR="00122705" w:rsidRPr="00122705" w:rsidRDefault="00122705" w:rsidP="00122705">
            <w:pPr>
              <w:jc w:val="center"/>
            </w:pPr>
            <w:r w:rsidRPr="00122705">
              <w:t>As (ppb)</w:t>
            </w:r>
          </w:p>
        </w:tc>
        <w:tc>
          <w:tcPr>
            <w:tcW w:w="1335" w:type="dxa"/>
          </w:tcPr>
          <w:p w:rsidR="00122705" w:rsidRPr="00122705" w:rsidRDefault="00122705" w:rsidP="00122705">
            <w:pPr>
              <w:jc w:val="center"/>
            </w:pPr>
            <w:r w:rsidRPr="00122705">
              <w:t>log(As)</w:t>
            </w:r>
          </w:p>
        </w:tc>
        <w:tc>
          <w:tcPr>
            <w:tcW w:w="1336" w:type="dxa"/>
          </w:tcPr>
          <w:p w:rsidR="00122705" w:rsidRPr="00122705" w:rsidRDefault="00122705" w:rsidP="00122705">
            <w:pPr>
              <w:jc w:val="center"/>
            </w:pPr>
            <w:r w:rsidRPr="00122705">
              <w:t>As &gt; 10 ppb</w:t>
            </w:r>
          </w:p>
        </w:tc>
        <w:tc>
          <w:tcPr>
            <w:tcW w:w="1336" w:type="dxa"/>
          </w:tcPr>
          <w:p w:rsidR="00122705" w:rsidRPr="00122705" w:rsidRDefault="00122705" w:rsidP="00122705">
            <w:pPr>
              <w:jc w:val="center"/>
            </w:pPr>
            <w:r>
              <w:t>As &gt; 50</w:t>
            </w:r>
            <w:r w:rsidRPr="00122705">
              <w:t xml:space="preserve"> ppb</w:t>
            </w:r>
          </w:p>
        </w:tc>
        <w:tc>
          <w:tcPr>
            <w:tcW w:w="1336" w:type="dxa"/>
          </w:tcPr>
          <w:p w:rsidR="00122705" w:rsidRPr="00122705" w:rsidRDefault="00122705" w:rsidP="00122705">
            <w:pPr>
              <w:jc w:val="center"/>
            </w:pPr>
            <w:r>
              <w:t>Depth (</w:t>
            </w:r>
            <w:proofErr w:type="spellStart"/>
            <w:r>
              <w:t>ft</w:t>
            </w:r>
            <w:proofErr w:type="spellEnd"/>
            <w:r>
              <w:t>)</w:t>
            </w:r>
          </w:p>
        </w:tc>
        <w:tc>
          <w:tcPr>
            <w:tcW w:w="1336" w:type="dxa"/>
          </w:tcPr>
          <w:p w:rsidR="00122705" w:rsidRPr="00122705" w:rsidRDefault="00122705" w:rsidP="00122705">
            <w:pPr>
              <w:jc w:val="center"/>
            </w:pPr>
            <w:r>
              <w:t>Longitude</w:t>
            </w:r>
          </w:p>
        </w:tc>
        <w:tc>
          <w:tcPr>
            <w:tcW w:w="1336" w:type="dxa"/>
          </w:tcPr>
          <w:p w:rsidR="00122705" w:rsidRPr="00122705" w:rsidRDefault="00122705" w:rsidP="00122705">
            <w:pPr>
              <w:jc w:val="center"/>
            </w:pPr>
            <w:r>
              <w:t>Latitude</w:t>
            </w:r>
          </w:p>
        </w:tc>
      </w:tr>
      <w:tr w:rsidR="00122705" w:rsidTr="00122705">
        <w:trPr>
          <w:jc w:val="center"/>
        </w:trPr>
        <w:tc>
          <w:tcPr>
            <w:tcW w:w="1335" w:type="dxa"/>
          </w:tcPr>
          <w:p w:rsidR="00122705" w:rsidRPr="00122705" w:rsidRDefault="00A27F32" w:rsidP="00122705">
            <w:pPr>
              <w:jc w:val="center"/>
            </w:pPr>
            <w:r>
              <w:t>25</w:t>
            </w:r>
          </w:p>
        </w:tc>
        <w:tc>
          <w:tcPr>
            <w:tcW w:w="1335" w:type="dxa"/>
          </w:tcPr>
          <w:p w:rsidR="00122705" w:rsidRPr="00122705" w:rsidRDefault="00A27F32" w:rsidP="00122705">
            <w:pPr>
              <w:jc w:val="center"/>
            </w:pPr>
            <w:r>
              <w:t>3.2188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180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90.44368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23.12708</w:t>
            </w:r>
          </w:p>
        </w:tc>
      </w:tr>
      <w:tr w:rsidR="00122705" w:rsidTr="00122705">
        <w:trPr>
          <w:jc w:val="center"/>
        </w:trPr>
        <w:tc>
          <w:tcPr>
            <w:tcW w:w="1335" w:type="dxa"/>
          </w:tcPr>
          <w:p w:rsidR="00122705" w:rsidRPr="00122705" w:rsidRDefault="00A27F32" w:rsidP="00122705">
            <w:pPr>
              <w:jc w:val="center"/>
            </w:pPr>
            <w:r>
              <w:t>51</w:t>
            </w:r>
          </w:p>
        </w:tc>
        <w:tc>
          <w:tcPr>
            <w:tcW w:w="1335" w:type="dxa"/>
          </w:tcPr>
          <w:p w:rsidR="00122705" w:rsidRPr="00122705" w:rsidRDefault="00A27F32" w:rsidP="00122705">
            <w:pPr>
              <w:jc w:val="center"/>
            </w:pPr>
            <w:r>
              <w:t>3.9318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180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90.44368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23.12708</w:t>
            </w:r>
          </w:p>
        </w:tc>
      </w:tr>
      <w:tr w:rsidR="00122705" w:rsidTr="00122705">
        <w:trPr>
          <w:jc w:val="center"/>
        </w:trPr>
        <w:tc>
          <w:tcPr>
            <w:tcW w:w="1335" w:type="dxa"/>
          </w:tcPr>
          <w:p w:rsidR="00122705" w:rsidRPr="00122705" w:rsidRDefault="00A27F32" w:rsidP="00122705">
            <w:pPr>
              <w:jc w:val="center"/>
            </w:pPr>
            <w:r>
              <w:t>0</w:t>
            </w:r>
          </w:p>
        </w:tc>
        <w:tc>
          <w:tcPr>
            <w:tcW w:w="1335" w:type="dxa"/>
          </w:tcPr>
          <w:p w:rsidR="00122705" w:rsidRPr="00122705" w:rsidRDefault="00A27F32" w:rsidP="00122705">
            <w:pPr>
              <w:jc w:val="center"/>
            </w:pPr>
            <w:r>
              <w:t>-6.907755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0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800</w:t>
            </w:r>
          </w:p>
        </w:tc>
        <w:tc>
          <w:tcPr>
            <w:tcW w:w="1336" w:type="dxa"/>
          </w:tcPr>
          <w:p w:rsidR="00122705" w:rsidRPr="00122705" w:rsidRDefault="00A27F32" w:rsidP="00122705">
            <w:pPr>
              <w:jc w:val="center"/>
            </w:pPr>
            <w:r>
              <w:t>90.44368</w:t>
            </w:r>
          </w:p>
        </w:tc>
        <w:tc>
          <w:tcPr>
            <w:tcW w:w="1336" w:type="dxa"/>
          </w:tcPr>
          <w:p w:rsidR="00122705" w:rsidRPr="00122705" w:rsidRDefault="00A27F32" w:rsidP="00A27F32">
            <w:pPr>
              <w:keepNext/>
              <w:jc w:val="center"/>
            </w:pPr>
            <w:r>
              <w:t>23.12708</w:t>
            </w:r>
          </w:p>
        </w:tc>
      </w:tr>
    </w:tbl>
    <w:p w:rsidR="00122705" w:rsidRPr="00A27F32" w:rsidRDefault="00A27F32" w:rsidP="00A27F32">
      <w:pPr>
        <w:pStyle w:val="Caption"/>
        <w:rPr>
          <w:rFonts w:ascii="Adobe Garamond Pro" w:hAnsi="Adobe Garamond Pro"/>
          <w:i w:val="0"/>
          <w:sz w:val="24"/>
          <w:szCs w:val="24"/>
        </w:rPr>
      </w:pPr>
      <w:r w:rsidRPr="00A27F32">
        <w:rPr>
          <w:rFonts w:ascii="Adobe Garamond Pro" w:hAnsi="Adobe Garamond Pro"/>
          <w:b/>
          <w:i w:val="0"/>
        </w:rPr>
        <w:t xml:space="preserve">Table </w:t>
      </w:r>
      <w:r w:rsidRPr="00A27F32">
        <w:rPr>
          <w:rFonts w:ascii="Adobe Garamond Pro" w:hAnsi="Adobe Garamond Pro"/>
          <w:b/>
          <w:i w:val="0"/>
        </w:rPr>
        <w:fldChar w:fldCharType="begin"/>
      </w:r>
      <w:r w:rsidRPr="00A27F32">
        <w:rPr>
          <w:rFonts w:ascii="Adobe Garamond Pro" w:hAnsi="Adobe Garamond Pro"/>
          <w:b/>
          <w:i w:val="0"/>
        </w:rPr>
        <w:instrText xml:space="preserve"> SEQ Table \* ARABIC </w:instrText>
      </w:r>
      <w:r w:rsidRPr="00A27F32">
        <w:rPr>
          <w:rFonts w:ascii="Adobe Garamond Pro" w:hAnsi="Adobe Garamond Pro"/>
          <w:b/>
          <w:i w:val="0"/>
        </w:rPr>
        <w:fldChar w:fldCharType="separate"/>
      </w:r>
      <w:r w:rsidRPr="00A27F32">
        <w:rPr>
          <w:rFonts w:ascii="Adobe Garamond Pro" w:hAnsi="Adobe Garamond Pro"/>
          <w:b/>
          <w:i w:val="0"/>
          <w:noProof/>
        </w:rPr>
        <w:t>1</w:t>
      </w:r>
      <w:r w:rsidRPr="00A27F32">
        <w:rPr>
          <w:rFonts w:ascii="Adobe Garamond Pro" w:hAnsi="Adobe Garamond Pro"/>
          <w:b/>
          <w:i w:val="0"/>
        </w:rPr>
        <w:fldChar w:fldCharType="end"/>
      </w:r>
      <w:r w:rsidRPr="00A27F32">
        <w:rPr>
          <w:rFonts w:ascii="Adobe Garamond Pro" w:hAnsi="Adobe Garamond Pro"/>
          <w:b/>
          <w:i w:val="0"/>
        </w:rPr>
        <w:t xml:space="preserve"> | </w:t>
      </w:r>
      <w:r>
        <w:rPr>
          <w:rFonts w:ascii="Adobe Garamond Pro" w:hAnsi="Adobe Garamond Pro"/>
          <w:i w:val="0"/>
        </w:rPr>
        <w:t>Sample of arsenic dataset. The dataset was derived from the BAMWSP data.</w:t>
      </w:r>
    </w:p>
    <w:p w:rsidR="00FA1FAD" w:rsidRDefault="0092530C" w:rsidP="00FA1FAD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510300</wp:posOffset>
            </wp:positionH>
            <wp:positionV relativeFrom="paragraph">
              <wp:posOffset>805503</wp:posOffset>
            </wp:positionV>
            <wp:extent cx="4440555" cy="4440555"/>
            <wp:effectExtent l="0" t="0" r="0" b="0"/>
            <wp:wrapTopAndBottom/>
            <wp:docPr id="1" name="Picture 1" descr="D:\Windows\Users\tasichcm\AppData\Local\Microsoft\Windows\INetCache\Content.Word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indows\Users\tasichcm\AppData\Local\Microsoft\Windows\INetCache\Content.Word\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1" t="328" r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462">
        <w:rPr>
          <w:rFonts w:ascii="Adobe Garamond Pro" w:hAnsi="Adobe Garamond Pro"/>
          <w:sz w:val="24"/>
          <w:szCs w:val="24"/>
        </w:rPr>
        <w:t>For the purpose of this study, we chose a subset (n</w:t>
      </w:r>
      <w:r w:rsidR="003A427D">
        <w:rPr>
          <w:rFonts w:ascii="Adobe Garamond Pro" w:hAnsi="Adobe Garamond Pro"/>
          <w:sz w:val="24"/>
          <w:szCs w:val="24"/>
        </w:rPr>
        <w:t>=4.66x10</w:t>
      </w:r>
      <w:r w:rsidR="003A427D">
        <w:rPr>
          <w:rFonts w:ascii="Adobe Garamond Pro" w:hAnsi="Adobe Garamond Pro"/>
          <w:sz w:val="24"/>
          <w:szCs w:val="24"/>
          <w:vertAlign w:val="superscript"/>
        </w:rPr>
        <w:t>5</w:t>
      </w:r>
      <w:r w:rsidR="004B3462">
        <w:rPr>
          <w:rFonts w:ascii="Adobe Garamond Pro" w:hAnsi="Adobe Garamond Pro"/>
          <w:sz w:val="24"/>
          <w:szCs w:val="24"/>
        </w:rPr>
        <w:t xml:space="preserve">) of the original data (Fig. 1) for two reasons: 1) it was computationally </w:t>
      </w:r>
      <w:r w:rsidR="003A427D">
        <w:rPr>
          <w:rFonts w:ascii="Adobe Garamond Pro" w:hAnsi="Adobe Garamond Pro"/>
          <w:sz w:val="24"/>
          <w:szCs w:val="24"/>
        </w:rPr>
        <w:t>less expensive</w:t>
      </w:r>
      <w:r w:rsidR="004B3462">
        <w:rPr>
          <w:rFonts w:ascii="Adobe Garamond Pro" w:hAnsi="Adobe Garamond Pro"/>
          <w:sz w:val="24"/>
          <w:szCs w:val="24"/>
        </w:rPr>
        <w:t xml:space="preserve"> to implement and test </w:t>
      </w:r>
      <w:r w:rsidR="00DE1C86">
        <w:rPr>
          <w:rFonts w:ascii="Adobe Garamond Pro" w:hAnsi="Adobe Garamond Pro"/>
          <w:sz w:val="24"/>
          <w:szCs w:val="24"/>
        </w:rPr>
        <w:t xml:space="preserve">our </w:t>
      </w:r>
      <w:r w:rsidR="004B3462">
        <w:rPr>
          <w:rFonts w:ascii="Adobe Garamond Pro" w:hAnsi="Adobe Garamond Pro"/>
          <w:sz w:val="24"/>
          <w:szCs w:val="24"/>
        </w:rPr>
        <w:t>models and 2) the subset represents a portion of the country where we have collected stratigraphy data which we will use as a predictor in future model iterations.</w:t>
      </w:r>
    </w:p>
    <w:p w:rsidR="00DE7BDF" w:rsidRDefault="00DE7BDF" w:rsidP="003A427D">
      <w:pPr>
        <w:rPr>
          <w:rFonts w:ascii="Adobe Garamond Pro" w:hAnsi="Adobe Garamond Pro"/>
          <w:i/>
          <w:sz w:val="24"/>
          <w:szCs w:val="24"/>
        </w:rPr>
      </w:pPr>
    </w:p>
    <w:p w:rsidR="00DE7BDF" w:rsidRDefault="00DE7BDF" w:rsidP="003A427D">
      <w:pPr>
        <w:rPr>
          <w:rFonts w:ascii="Adobe Garamond Pro" w:hAnsi="Adobe Garamond Pro"/>
          <w:i/>
          <w:sz w:val="24"/>
          <w:szCs w:val="24"/>
        </w:rPr>
      </w:pPr>
    </w:p>
    <w:p w:rsidR="00DE7BDF" w:rsidRPr="003C4999" w:rsidRDefault="00DE7BDF" w:rsidP="003C4999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lastRenderedPageBreak/>
        <w:t xml:space="preserve">A pairs plot of the </w:t>
      </w:r>
      <w:r w:rsidR="003C4999">
        <w:rPr>
          <w:rFonts w:ascii="Adobe Garamond Pro" w:hAnsi="Adobe Garamond Pro"/>
          <w:sz w:val="24"/>
          <w:szCs w:val="24"/>
        </w:rPr>
        <w:t>model variables was used to explore relationships in the data (Fig. 2).</w:t>
      </w:r>
      <w:r w:rsidR="007030AC">
        <w:rPr>
          <w:rFonts w:ascii="Adobe Garamond Pro" w:hAnsi="Adobe Garamond Pro"/>
          <w:sz w:val="24"/>
          <w:szCs w:val="24"/>
        </w:rPr>
        <w:t xml:space="preserve"> </w:t>
      </w:r>
      <w:r w:rsidR="007030AC" w:rsidRPr="007030AC">
        <w:rPr>
          <w:rFonts w:ascii="Adobe Garamond Pro" w:hAnsi="Adobe Garamond Pro"/>
          <w:sz w:val="24"/>
          <w:szCs w:val="24"/>
        </w:rPr>
        <w:t xml:space="preserve">The arsenic concentrations appear discretized due to the sampling method used for ~50% of the observation. The samples were taken by trained NGO workers who used a two-step </w:t>
      </w:r>
      <w:proofErr w:type="spellStart"/>
      <w:r w:rsidR="007030AC" w:rsidRPr="007030AC">
        <w:rPr>
          <w:rFonts w:ascii="Adobe Garamond Pro" w:hAnsi="Adobe Garamond Pro"/>
          <w:sz w:val="24"/>
          <w:szCs w:val="24"/>
        </w:rPr>
        <w:t>Hach</w:t>
      </w:r>
      <w:proofErr w:type="spellEnd"/>
      <w:r w:rsidR="007030AC" w:rsidRPr="007030AC">
        <w:rPr>
          <w:rFonts w:ascii="Adobe Garamond Pro" w:hAnsi="Adobe Garamond Pro"/>
          <w:sz w:val="24"/>
          <w:szCs w:val="24"/>
        </w:rPr>
        <w:t xml:space="preserve"> EZ arsenic kit. The kit uses an arsine gas (AsH</w:t>
      </w:r>
      <w:r w:rsidR="00DE1C86">
        <w:rPr>
          <w:rFonts w:ascii="Adobe Garamond Pro" w:hAnsi="Adobe Garamond Pro"/>
          <w:sz w:val="24"/>
          <w:szCs w:val="24"/>
          <w:vertAlign w:val="subscript"/>
        </w:rPr>
        <w:t>3</w:t>
      </w:r>
      <w:r w:rsidR="007030AC" w:rsidRPr="007030AC">
        <w:rPr>
          <w:rFonts w:ascii="Adobe Garamond Pro" w:hAnsi="Adobe Garamond Pro"/>
          <w:sz w:val="24"/>
          <w:szCs w:val="24"/>
        </w:rPr>
        <w:t>) reaction with a mercuric bromide test strip. The reacted test strip is then compared visually to a reference scale (0, 10, 25, 50, 100, 250, and 500 ppb)</w:t>
      </w:r>
      <w:r w:rsidR="00DE1C86">
        <w:rPr>
          <w:rFonts w:ascii="Adobe Garamond Pro" w:hAnsi="Adobe Garamond Pro"/>
          <w:sz w:val="24"/>
          <w:szCs w:val="24"/>
        </w:rPr>
        <w:t xml:space="preserve"> which explains the discretized appearance</w:t>
      </w:r>
      <w:r w:rsidR="007030AC" w:rsidRPr="007030AC">
        <w:rPr>
          <w:rFonts w:ascii="Adobe Garamond Pro" w:hAnsi="Adobe Garamond Pro"/>
          <w:sz w:val="24"/>
          <w:szCs w:val="24"/>
        </w:rPr>
        <w:t xml:space="preserve"> (van </w:t>
      </w:r>
      <w:proofErr w:type="spellStart"/>
      <w:r w:rsidR="007030AC" w:rsidRPr="007030AC">
        <w:rPr>
          <w:rFonts w:ascii="Adobe Garamond Pro" w:hAnsi="Adobe Garamond Pro"/>
          <w:sz w:val="24"/>
          <w:szCs w:val="24"/>
        </w:rPr>
        <w:t>Geen</w:t>
      </w:r>
      <w:proofErr w:type="spellEnd"/>
      <w:r w:rsidR="007030AC" w:rsidRPr="007030AC">
        <w:rPr>
          <w:rFonts w:ascii="Adobe Garamond Pro" w:hAnsi="Adobe Garamond Pro"/>
          <w:sz w:val="24"/>
          <w:szCs w:val="24"/>
        </w:rPr>
        <w:t xml:space="preserve"> et al., 2005).</w:t>
      </w:r>
    </w:p>
    <w:p w:rsidR="00DE7BDF" w:rsidRPr="00DE7BDF" w:rsidRDefault="00DE7BDF" w:rsidP="003A427D">
      <w:pPr>
        <w:rPr>
          <w:rFonts w:ascii="Adobe Garamond Pro" w:hAnsi="Adobe Garamond Pro"/>
          <w:sz w:val="24"/>
          <w:szCs w:val="24"/>
        </w:rPr>
      </w:pPr>
      <w:r w:rsidRPr="00DE7BDF">
        <w:rPr>
          <w:rFonts w:ascii="Adobe Garamond Pro" w:hAnsi="Adobe Garamond Pro"/>
          <w:noProof/>
          <w:sz w:val="24"/>
          <w:szCs w:val="24"/>
        </w:rPr>
        <w:drawing>
          <wp:inline distT="0" distB="0" distL="0" distR="0">
            <wp:extent cx="5943600" cy="5915564"/>
            <wp:effectExtent l="0" t="0" r="0" b="9525"/>
            <wp:docPr id="4" name="Picture 4" descr="C:\Users\chris\Documents\Projects\bng_arsenic\figures\pai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Documents\Projects\bng_arsenic\figures\pai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B8" w:rsidRDefault="00B676B8" w:rsidP="003A427D">
      <w:pPr>
        <w:rPr>
          <w:rFonts w:ascii="Adobe Garamond Pro" w:hAnsi="Adobe Garamond Pro"/>
          <w:i/>
          <w:sz w:val="24"/>
          <w:szCs w:val="24"/>
        </w:rPr>
      </w:pPr>
      <w:r>
        <w:rPr>
          <w:rFonts w:ascii="Adobe Garamond Pro" w:hAnsi="Adobe Garamond Pro"/>
          <w:i/>
          <w:sz w:val="24"/>
          <w:szCs w:val="24"/>
        </w:rPr>
        <w:t>Predictor Selection</w:t>
      </w:r>
    </w:p>
    <w:p w:rsidR="00D11FEC" w:rsidRPr="00DE1C86" w:rsidRDefault="00D11FEC" w:rsidP="003A427D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Predictors were selected using best subset selection as there were only three total predictors. All predictors were selected regardless of the metric used to </w:t>
      </w:r>
      <w:r w:rsidR="00DE1C86">
        <w:rPr>
          <w:rFonts w:ascii="Adobe Garamond Pro" w:hAnsi="Adobe Garamond Pro"/>
          <w:sz w:val="24"/>
          <w:szCs w:val="24"/>
        </w:rPr>
        <w:t>evaluated the best model (Fig. 3</w:t>
      </w:r>
      <w:r>
        <w:rPr>
          <w:rFonts w:ascii="Adobe Garamond Pro" w:hAnsi="Adobe Garamond Pro"/>
          <w:sz w:val="24"/>
          <w:szCs w:val="24"/>
        </w:rPr>
        <w:t>)</w:t>
      </w:r>
      <w:r w:rsidR="0092530C">
        <w:rPr>
          <w:rFonts w:ascii="Adobe Garamond Pro" w:hAnsi="Adobe Garamond Pro"/>
          <w:sz w:val="24"/>
          <w:szCs w:val="24"/>
        </w:rPr>
        <w:t>.</w:t>
      </w:r>
      <w:r w:rsidR="00DE1C86">
        <w:rPr>
          <w:rFonts w:ascii="Adobe Garamond Pro" w:hAnsi="Adobe Garamond Pro"/>
          <w:sz w:val="24"/>
          <w:szCs w:val="24"/>
        </w:rPr>
        <w:t xml:space="preserve"> However, </w:t>
      </w:r>
      <w:proofErr w:type="spellStart"/>
      <w:r w:rsidR="00DE1C86">
        <w:rPr>
          <w:rFonts w:ascii="Adobe Garamond Pro" w:hAnsi="Adobe Garamond Pro"/>
          <w:sz w:val="24"/>
          <w:szCs w:val="24"/>
        </w:rPr>
        <w:t>C</w:t>
      </w:r>
      <w:r w:rsidR="00DE1C86">
        <w:rPr>
          <w:rFonts w:ascii="Adobe Garamond Pro" w:hAnsi="Adobe Garamond Pro"/>
          <w:sz w:val="24"/>
          <w:szCs w:val="24"/>
          <w:vertAlign w:val="subscript"/>
        </w:rPr>
        <w:t>p</w:t>
      </w:r>
      <w:proofErr w:type="spellEnd"/>
      <w:r w:rsidR="00DE1C86">
        <w:rPr>
          <w:rFonts w:ascii="Adobe Garamond Pro" w:hAnsi="Adobe Garamond Pro"/>
          <w:sz w:val="24"/>
          <w:szCs w:val="24"/>
        </w:rPr>
        <w:t xml:space="preserve"> and BIC sometimes favored excluding longitude. After extensive model testing, </w:t>
      </w:r>
      <w:r w:rsidR="00DE1C86">
        <w:rPr>
          <w:rFonts w:ascii="Adobe Garamond Pro" w:hAnsi="Adobe Garamond Pro"/>
          <w:sz w:val="24"/>
          <w:szCs w:val="24"/>
        </w:rPr>
        <w:lastRenderedPageBreak/>
        <w:t>models including longitude always outperformed ones excluding longitude. Therefore, we chose to include longitude in our final analysis.</w:t>
      </w:r>
    </w:p>
    <w:p w:rsidR="00DE7BDF" w:rsidRDefault="00DE7BDF" w:rsidP="003A427D">
      <w:pPr>
        <w:rPr>
          <w:rFonts w:ascii="Adobe Garamond Pro" w:hAnsi="Adobe Garamond Pro"/>
          <w:sz w:val="24"/>
          <w:szCs w:val="24"/>
        </w:rPr>
      </w:pPr>
      <w:r w:rsidRPr="00DE7BDF">
        <w:rPr>
          <w:rFonts w:ascii="Adobe Garamond Pro" w:hAnsi="Adobe Garamond Pro"/>
          <w:noProof/>
          <w:sz w:val="24"/>
          <w:szCs w:val="24"/>
        </w:rPr>
        <w:drawing>
          <wp:inline distT="0" distB="0" distL="0" distR="0">
            <wp:extent cx="6057900" cy="6029325"/>
            <wp:effectExtent l="0" t="0" r="0" b="9525"/>
            <wp:docPr id="2" name="Picture 2" descr="C:\Users\chris\Documents\Projects\bng_arsenic\figures\sub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cuments\Projects\bng_arsenic\figures\subse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27D" w:rsidRDefault="003A427D" w:rsidP="003A427D">
      <w:pPr>
        <w:rPr>
          <w:rFonts w:ascii="Adobe Garamond Pro" w:hAnsi="Adobe Garamond Pro"/>
          <w:i/>
          <w:sz w:val="24"/>
          <w:szCs w:val="24"/>
        </w:rPr>
      </w:pPr>
      <w:r>
        <w:rPr>
          <w:rFonts w:ascii="Adobe Garamond Pro" w:hAnsi="Adobe Garamond Pro"/>
          <w:i/>
          <w:sz w:val="24"/>
          <w:szCs w:val="24"/>
        </w:rPr>
        <w:t>Regression Modeling of Arsenic Concentrations</w:t>
      </w:r>
    </w:p>
    <w:p w:rsidR="003A427D" w:rsidRDefault="003A427D" w:rsidP="003A427D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We modeled arsenic concentrations </w:t>
      </w:r>
      <w:r w:rsidR="00B676B8">
        <w:rPr>
          <w:rFonts w:ascii="Adobe Garamond Pro" w:hAnsi="Adobe Garamond Pro"/>
          <w:sz w:val="24"/>
          <w:szCs w:val="24"/>
        </w:rPr>
        <w:t>using linear re</w:t>
      </w:r>
      <w:r w:rsidR="002C5698">
        <w:rPr>
          <w:rFonts w:ascii="Adobe Garamond Pro" w:hAnsi="Adobe Garamond Pro"/>
          <w:sz w:val="24"/>
          <w:szCs w:val="24"/>
        </w:rPr>
        <w:t xml:space="preserve">gression, regression trees, </w:t>
      </w:r>
      <w:r w:rsidR="00B676B8">
        <w:rPr>
          <w:rFonts w:ascii="Adobe Garamond Pro" w:hAnsi="Adobe Garamond Pro"/>
          <w:sz w:val="24"/>
          <w:szCs w:val="24"/>
        </w:rPr>
        <w:t>non-linear polynomial regressions</w:t>
      </w:r>
      <w:r w:rsidR="002C5698">
        <w:rPr>
          <w:rFonts w:ascii="Adobe Garamond Pro" w:hAnsi="Adobe Garamond Pro"/>
          <w:sz w:val="24"/>
          <w:szCs w:val="24"/>
        </w:rPr>
        <w:t>, and support vector machines (SVM)</w:t>
      </w:r>
      <w:r w:rsidR="00B676B8">
        <w:rPr>
          <w:rFonts w:ascii="Adobe Garamond Pro" w:hAnsi="Adobe Garamond Pro"/>
          <w:sz w:val="24"/>
          <w:szCs w:val="24"/>
        </w:rPr>
        <w:t xml:space="preserve">. </w:t>
      </w:r>
      <w:r w:rsidR="00D11FEC">
        <w:rPr>
          <w:rFonts w:ascii="Adobe Garamond Pro" w:hAnsi="Adobe Garamond Pro"/>
          <w:sz w:val="24"/>
          <w:szCs w:val="24"/>
        </w:rPr>
        <w:t>We also applied log transforma</w:t>
      </w:r>
      <w:r w:rsidR="0092530C">
        <w:rPr>
          <w:rFonts w:ascii="Adobe Garamond Pro" w:hAnsi="Adobe Garamond Pro"/>
          <w:sz w:val="24"/>
          <w:szCs w:val="24"/>
        </w:rPr>
        <w:t>tions to the response variable in some of our models.</w:t>
      </w:r>
      <w:r w:rsidR="002C5698">
        <w:rPr>
          <w:rFonts w:ascii="Adobe Garamond Pro" w:hAnsi="Adobe Garamond Pro"/>
          <w:sz w:val="24"/>
          <w:szCs w:val="24"/>
        </w:rPr>
        <w:t xml:space="preserve"> Furthermore, we used k-fold (K=10</w:t>
      </w:r>
      <w:r w:rsidR="00DE1C86">
        <w:rPr>
          <w:rFonts w:ascii="Adobe Garamond Pro" w:hAnsi="Adobe Garamond Pro"/>
          <w:sz w:val="24"/>
          <w:szCs w:val="24"/>
        </w:rPr>
        <w:t>; K=100</w:t>
      </w:r>
      <w:r w:rsidR="002C5698">
        <w:rPr>
          <w:rFonts w:ascii="Adobe Garamond Pro" w:hAnsi="Adobe Garamond Pro"/>
          <w:sz w:val="24"/>
          <w:szCs w:val="24"/>
        </w:rPr>
        <w:t>) to cross-validated our models. We then compared the model fits based on RMSE which is in terms of ppb</w:t>
      </w:r>
      <w:r w:rsidR="00DE1C86">
        <w:rPr>
          <w:rFonts w:ascii="Adobe Garamond Pro" w:hAnsi="Adobe Garamond Pro"/>
          <w:sz w:val="24"/>
          <w:szCs w:val="24"/>
        </w:rPr>
        <w:t xml:space="preserve"> (Fig. 4; Table 2).</w:t>
      </w:r>
    </w:p>
    <w:p w:rsidR="002C5698" w:rsidRDefault="002C5698" w:rsidP="003A427D">
      <w:pPr>
        <w:rPr>
          <w:rFonts w:ascii="Adobe Garamond Pro" w:hAnsi="Adobe Garamond Pro"/>
          <w:sz w:val="24"/>
          <w:szCs w:val="24"/>
        </w:rPr>
      </w:pPr>
    </w:p>
    <w:p w:rsidR="002C5698" w:rsidRDefault="00DE1C86" w:rsidP="003A427D">
      <w:pPr>
        <w:rPr>
          <w:rFonts w:ascii="Adobe Garamond Pro" w:hAnsi="Adobe Garamond Pro"/>
          <w:sz w:val="24"/>
          <w:szCs w:val="24"/>
        </w:rPr>
      </w:pPr>
      <w:r w:rsidRPr="00DE1C86">
        <w:rPr>
          <w:rFonts w:ascii="Adobe Garamond Pro" w:hAnsi="Adobe Garamond Pro"/>
          <w:noProof/>
          <w:sz w:val="24"/>
          <w:szCs w:val="24"/>
        </w:rPr>
        <w:lastRenderedPageBreak/>
        <w:drawing>
          <wp:inline distT="0" distB="0" distL="0" distR="0">
            <wp:extent cx="5943600" cy="6505303"/>
            <wp:effectExtent l="0" t="0" r="0" b="0"/>
            <wp:docPr id="5" name="Picture 5" descr="C:\Users\chris\Documents\Projects\bng_arsenic\figures\rm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Documents\Projects\bng_arsenic\figures\rm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98" w:rsidRDefault="002C5698" w:rsidP="003A427D">
      <w:pPr>
        <w:rPr>
          <w:rFonts w:ascii="Adobe Garamond Pro" w:hAnsi="Adobe Garamond Pro"/>
          <w:sz w:val="24"/>
          <w:szCs w:val="24"/>
        </w:rPr>
      </w:pPr>
    </w:p>
    <w:p w:rsidR="002C5698" w:rsidRPr="00FA1FAD" w:rsidRDefault="002C5698" w:rsidP="003A427D">
      <w:pPr>
        <w:rPr>
          <w:rFonts w:ascii="Adobe Garamond Pro" w:hAnsi="Adobe Garamond Pro"/>
          <w:sz w:val="24"/>
          <w:szCs w:val="24"/>
        </w:rPr>
      </w:pPr>
    </w:p>
    <w:tbl>
      <w:tblPr>
        <w:tblW w:w="8725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4590"/>
        <w:gridCol w:w="2070"/>
      </w:tblGrid>
      <w:tr w:rsidR="002C5698" w:rsidRPr="002C5698" w:rsidTr="002C5698">
        <w:trPr>
          <w:trHeight w:val="285"/>
        </w:trPr>
        <w:tc>
          <w:tcPr>
            <w:tcW w:w="2065" w:type="dxa"/>
            <w:shd w:val="clear" w:color="A5A5A5" w:fill="A5A5A5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5698">
              <w:rPr>
                <w:rFonts w:ascii="Calibri" w:eastAsia="Times New Roman" w:hAnsi="Calibri" w:cs="Calibri"/>
                <w:b/>
                <w:bCs/>
                <w:color w:val="FFFFFF"/>
              </w:rPr>
              <w:t>Model Type</w:t>
            </w:r>
          </w:p>
        </w:tc>
        <w:tc>
          <w:tcPr>
            <w:tcW w:w="4590" w:type="dxa"/>
            <w:shd w:val="clear" w:color="A5A5A5" w:fill="A5A5A5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5698">
              <w:rPr>
                <w:rFonts w:ascii="Calibri" w:eastAsia="Times New Roman" w:hAnsi="Calibri" w:cs="Calibri"/>
                <w:b/>
                <w:bCs/>
                <w:color w:val="FFFFFF"/>
              </w:rPr>
              <w:t>Formula</w:t>
            </w:r>
          </w:p>
        </w:tc>
        <w:tc>
          <w:tcPr>
            <w:tcW w:w="2070" w:type="dxa"/>
            <w:shd w:val="clear" w:color="A5A5A5" w:fill="A5A5A5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C5698">
              <w:rPr>
                <w:rFonts w:ascii="Calibri" w:eastAsia="Times New Roman" w:hAnsi="Calibri" w:cs="Calibri"/>
                <w:b/>
                <w:bCs/>
                <w:color w:val="FFFFFF"/>
              </w:rPr>
              <w:t>RMSE</w:t>
            </w:r>
          </w:p>
        </w:tc>
      </w:tr>
      <w:tr w:rsidR="002C5698" w:rsidRPr="002C5698" w:rsidTr="002C5698">
        <w:trPr>
          <w:trHeight w:val="285"/>
        </w:trPr>
        <w:tc>
          <w:tcPr>
            <w:tcW w:w="2065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590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mean(As)</w:t>
            </w:r>
          </w:p>
        </w:tc>
        <w:tc>
          <w:tcPr>
            <w:tcW w:w="2070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169.0042</w:t>
            </w:r>
          </w:p>
        </w:tc>
      </w:tr>
      <w:tr w:rsidR="002C5698" w:rsidRPr="002C5698" w:rsidTr="002C5698">
        <w:trPr>
          <w:trHeight w:val="285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mean(log(As))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205.7938</w:t>
            </w:r>
          </w:p>
        </w:tc>
      </w:tr>
      <w:tr w:rsidR="002C5698" w:rsidRPr="002C5698" w:rsidTr="002C5698">
        <w:trPr>
          <w:trHeight w:val="285"/>
        </w:trPr>
        <w:tc>
          <w:tcPr>
            <w:tcW w:w="2065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4590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 xml:space="preserve">As ~ depth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 w:rsidRPr="002C5698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</w:p>
        </w:tc>
        <w:tc>
          <w:tcPr>
            <w:tcW w:w="2070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164.8969</w:t>
            </w:r>
          </w:p>
        </w:tc>
      </w:tr>
      <w:tr w:rsidR="002C5698" w:rsidRPr="002C5698" w:rsidTr="002C5698">
        <w:trPr>
          <w:trHeight w:val="285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Linear</w:t>
            </w:r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 xml:space="preserve">log(As) ~ depth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 w:rsidRPr="002C5698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202.0204</w:t>
            </w:r>
          </w:p>
        </w:tc>
      </w:tr>
      <w:tr w:rsidR="002C5698" w:rsidRPr="002C5698" w:rsidTr="002C5698">
        <w:trPr>
          <w:trHeight w:val="285"/>
        </w:trPr>
        <w:tc>
          <w:tcPr>
            <w:tcW w:w="2065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lastRenderedPageBreak/>
              <w:t>Tree</w:t>
            </w:r>
          </w:p>
        </w:tc>
        <w:tc>
          <w:tcPr>
            <w:tcW w:w="4590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 xml:space="preserve">As ~ depth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 w:rsidRPr="002C5698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</w:p>
        </w:tc>
        <w:tc>
          <w:tcPr>
            <w:tcW w:w="2070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134.6268</w:t>
            </w:r>
          </w:p>
        </w:tc>
      </w:tr>
      <w:tr w:rsidR="002C5698" w:rsidRPr="002C5698" w:rsidTr="002C5698">
        <w:trPr>
          <w:trHeight w:val="285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Tree</w:t>
            </w:r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 xml:space="preserve">log(As) ~ depth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 w:rsidRPr="002C5698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163.1576</w:t>
            </w:r>
          </w:p>
        </w:tc>
      </w:tr>
      <w:tr w:rsidR="002C5698" w:rsidRPr="002C5698" w:rsidTr="002C5698">
        <w:trPr>
          <w:trHeight w:val="285"/>
        </w:trPr>
        <w:tc>
          <w:tcPr>
            <w:tcW w:w="2065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Polynomial</w:t>
            </w:r>
          </w:p>
        </w:tc>
        <w:tc>
          <w:tcPr>
            <w:tcW w:w="4590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 xml:space="preserve">As ~ </w:t>
            </w:r>
            <w:proofErr w:type="gramStart"/>
            <w:r w:rsidRPr="002C5698">
              <w:rPr>
                <w:rFonts w:ascii="Calibri" w:eastAsia="Times New Roman" w:hAnsi="Calibri" w:cs="Calibri"/>
                <w:color w:val="000000"/>
              </w:rPr>
              <w:t>poly(</w:t>
            </w:r>
            <w:proofErr w:type="gramEnd"/>
            <w:r w:rsidRPr="002C5698">
              <w:rPr>
                <w:rFonts w:ascii="Calibri" w:eastAsia="Times New Roman" w:hAnsi="Calibri" w:cs="Calibri"/>
                <w:color w:val="000000"/>
              </w:rPr>
              <w:t xml:space="preserve">depth,3(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 w:rsidRPr="002C5698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</w:p>
        </w:tc>
        <w:tc>
          <w:tcPr>
            <w:tcW w:w="2070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164.8131</w:t>
            </w:r>
          </w:p>
        </w:tc>
      </w:tr>
      <w:tr w:rsidR="002C5698" w:rsidRPr="002C5698" w:rsidTr="002C5698">
        <w:trPr>
          <w:trHeight w:val="285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Polynomial</w:t>
            </w:r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 xml:space="preserve">As ~ poly(depth,4)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 w:rsidRPr="002C5698"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164.4951</w:t>
            </w:r>
          </w:p>
        </w:tc>
      </w:tr>
      <w:tr w:rsidR="002C5698" w:rsidRPr="002C5698" w:rsidTr="002C5698">
        <w:trPr>
          <w:trHeight w:val="285"/>
        </w:trPr>
        <w:tc>
          <w:tcPr>
            <w:tcW w:w="2065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Polynomial</w:t>
            </w:r>
          </w:p>
        </w:tc>
        <w:tc>
          <w:tcPr>
            <w:tcW w:w="4590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 xml:space="preserve">As ~ depth + </w:t>
            </w:r>
            <w:proofErr w:type="spellStart"/>
            <w:r w:rsidRPr="002C5698"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 w:rsidRPr="002C5698">
              <w:rPr>
                <w:rFonts w:ascii="Calibri" w:eastAsia="Times New Roman" w:hAnsi="Calibri" w:cs="Calibri"/>
                <w:color w:val="000000"/>
              </w:rPr>
              <w:t xml:space="preserve"> + poly(lat,2)</w:t>
            </w:r>
          </w:p>
        </w:tc>
        <w:tc>
          <w:tcPr>
            <w:tcW w:w="2070" w:type="dxa"/>
            <w:shd w:val="clear" w:color="EDEDED" w:fill="EDEDED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164.5765</w:t>
            </w:r>
          </w:p>
        </w:tc>
      </w:tr>
      <w:tr w:rsidR="002C5698" w:rsidRPr="002C5698" w:rsidTr="002C5698">
        <w:trPr>
          <w:trHeight w:val="278"/>
        </w:trPr>
        <w:tc>
          <w:tcPr>
            <w:tcW w:w="2065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4590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As ~ depth +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+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lat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r w:rsidRPr="002C5698">
              <w:rPr>
                <w:rFonts w:ascii="Calibri" w:eastAsia="Times New Roman" w:hAnsi="Calibri" w:cs="Calibri"/>
                <w:color w:val="000000"/>
              </w:rPr>
              <w:t>cost=100;</w:t>
            </w:r>
            <w:r w:rsidR="00DE1C8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C5698">
              <w:rPr>
                <w:rFonts w:ascii="Calibri" w:eastAsia="Times New Roman" w:hAnsi="Calibri" w:cs="Calibri"/>
                <w:color w:val="000000"/>
              </w:rPr>
              <w:t>gamma=10)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2C5698" w:rsidRPr="002C5698" w:rsidRDefault="002C5698" w:rsidP="002C56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C5698">
              <w:rPr>
                <w:rFonts w:ascii="Calibri" w:eastAsia="Times New Roman" w:hAnsi="Calibri" w:cs="Calibri"/>
                <w:color w:val="000000"/>
              </w:rPr>
              <w:t>135.4405</w:t>
            </w:r>
          </w:p>
        </w:tc>
      </w:tr>
    </w:tbl>
    <w:p w:rsidR="003A427D" w:rsidRDefault="003A427D" w:rsidP="00FA1FAD">
      <w:pPr>
        <w:rPr>
          <w:rFonts w:ascii="Adobe Garamond Pro" w:hAnsi="Adobe Garamond Pro"/>
          <w:sz w:val="24"/>
          <w:szCs w:val="24"/>
        </w:rPr>
      </w:pPr>
    </w:p>
    <w:p w:rsidR="00DE1C86" w:rsidRDefault="00DE1C86" w:rsidP="00FA1FAD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The most successful models were the tree regression and the SVM models. Though, RMSE values were very high for all models. The overall best model though was a tree model (As ~ depth + </w:t>
      </w:r>
      <w:proofErr w:type="spellStart"/>
      <w:r>
        <w:rPr>
          <w:rFonts w:ascii="Adobe Garamond Pro" w:hAnsi="Adobe Garamond Pro"/>
          <w:sz w:val="24"/>
          <w:szCs w:val="24"/>
        </w:rPr>
        <w:t>lon</w:t>
      </w:r>
      <w:proofErr w:type="spellEnd"/>
      <w:r>
        <w:rPr>
          <w:rFonts w:ascii="Adobe Garamond Pro" w:hAnsi="Adobe Garamond Pro"/>
          <w:sz w:val="24"/>
          <w:szCs w:val="24"/>
        </w:rPr>
        <w:t xml:space="preserve"> + </w:t>
      </w:r>
      <w:proofErr w:type="spellStart"/>
      <w:r>
        <w:rPr>
          <w:rFonts w:ascii="Adobe Garamond Pro" w:hAnsi="Adobe Garamond Pro"/>
          <w:sz w:val="24"/>
          <w:szCs w:val="24"/>
        </w:rPr>
        <w:t>lat</w:t>
      </w:r>
      <w:proofErr w:type="spellEnd"/>
      <w:r>
        <w:rPr>
          <w:rFonts w:ascii="Adobe Garamond Pro" w:hAnsi="Adobe Garamond Pro"/>
          <w:sz w:val="24"/>
          <w:szCs w:val="24"/>
        </w:rPr>
        <w:t>) (Fig. 5).</w:t>
      </w:r>
    </w:p>
    <w:p w:rsidR="00DE1C86" w:rsidRDefault="00DE1C86" w:rsidP="00FA1FAD">
      <w:pPr>
        <w:rPr>
          <w:rFonts w:ascii="Adobe Garamond Pro" w:hAnsi="Adobe Garamond Pro"/>
          <w:sz w:val="24"/>
          <w:szCs w:val="24"/>
        </w:rPr>
      </w:pPr>
    </w:p>
    <w:p w:rsidR="00DE1C86" w:rsidRDefault="00DE1C86" w:rsidP="00FA1FAD">
      <w:pPr>
        <w:rPr>
          <w:rFonts w:ascii="Adobe Garamond Pro" w:hAnsi="Adobe Garamond Pro"/>
          <w:sz w:val="24"/>
          <w:szCs w:val="24"/>
        </w:rPr>
      </w:pPr>
      <w:r w:rsidRPr="00DE1C86">
        <w:rPr>
          <w:rFonts w:ascii="Adobe Garamond Pro" w:hAnsi="Adobe Garamond Pro"/>
          <w:noProof/>
          <w:sz w:val="24"/>
          <w:szCs w:val="24"/>
        </w:rPr>
        <w:lastRenderedPageBreak/>
        <w:drawing>
          <wp:inline distT="0" distB="0" distL="0" distR="0">
            <wp:extent cx="5943600" cy="6505303"/>
            <wp:effectExtent l="0" t="0" r="0" b="0"/>
            <wp:docPr id="6" name="Picture 6" descr="C:\Users\chris\Documents\Projects\bng_arsenic\figures\best_mod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Documents\Projects\bng_arsenic\figures\best_model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C6E" w:rsidRDefault="001C3C6E" w:rsidP="00691680">
      <w:pPr>
        <w:pStyle w:val="ListParagraph"/>
        <w:numPr>
          <w:ilvl w:val="0"/>
          <w:numId w:val="1"/>
        </w:numPr>
        <w:ind w:left="72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Discussion</w:t>
      </w:r>
    </w:p>
    <w:p w:rsidR="00DF5E8A" w:rsidRDefault="00DF5E8A" w:rsidP="00691680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Through this analysis, it became evident that the discretization of arsenic concentrations (Fig. 6) would require a more thoughtful approach to discerning any statistical trends in the data. </w:t>
      </w:r>
    </w:p>
    <w:p w:rsidR="00DF5E8A" w:rsidRDefault="00DF5E8A" w:rsidP="00691680">
      <w:pPr>
        <w:rPr>
          <w:rFonts w:ascii="Adobe Garamond Pro" w:hAnsi="Adobe Garamond Pro"/>
          <w:noProof/>
          <w:sz w:val="24"/>
          <w:szCs w:val="24"/>
        </w:rPr>
      </w:pPr>
    </w:p>
    <w:p w:rsidR="00DF5E8A" w:rsidRDefault="00DF5E8A" w:rsidP="00691680">
      <w:pPr>
        <w:rPr>
          <w:rFonts w:ascii="Adobe Garamond Pro" w:hAnsi="Adobe Garamond Pro"/>
          <w:noProof/>
          <w:sz w:val="24"/>
          <w:szCs w:val="24"/>
        </w:rPr>
      </w:pPr>
    </w:p>
    <w:p w:rsidR="00DF5E8A" w:rsidRDefault="00DF5E8A" w:rsidP="00691680">
      <w:pPr>
        <w:rPr>
          <w:rFonts w:ascii="Adobe Garamond Pro" w:hAnsi="Adobe Garamond Pro"/>
          <w:noProof/>
          <w:sz w:val="24"/>
          <w:szCs w:val="24"/>
        </w:rPr>
      </w:pPr>
    </w:p>
    <w:p w:rsidR="00DF5E8A" w:rsidRDefault="00DF5E8A" w:rsidP="00691680">
      <w:pPr>
        <w:rPr>
          <w:rFonts w:ascii="Adobe Garamond Pro" w:hAnsi="Adobe Garamond Pro"/>
          <w:noProof/>
          <w:sz w:val="24"/>
          <w:szCs w:val="24"/>
        </w:rPr>
      </w:pPr>
    </w:p>
    <w:p w:rsidR="00DF5E8A" w:rsidRDefault="00DF5E8A" w:rsidP="00691680">
      <w:pPr>
        <w:rPr>
          <w:rFonts w:ascii="Adobe Garamond Pro" w:hAnsi="Adobe Garamond Pro"/>
          <w:noProof/>
          <w:sz w:val="24"/>
          <w:szCs w:val="24"/>
        </w:rPr>
      </w:pPr>
    </w:p>
    <w:p w:rsidR="00DF5E8A" w:rsidRDefault="00DF5E8A" w:rsidP="00691680">
      <w:pPr>
        <w:rPr>
          <w:rFonts w:ascii="Adobe Garamond Pro" w:hAnsi="Adobe Garamond Pro"/>
          <w:noProof/>
          <w:sz w:val="24"/>
          <w:szCs w:val="24"/>
        </w:rPr>
      </w:pPr>
    </w:p>
    <w:p w:rsidR="001C3C6E" w:rsidRDefault="00DF5E8A" w:rsidP="00691680">
      <w:pPr>
        <w:rPr>
          <w:rFonts w:ascii="Adobe Garamond Pro" w:hAnsi="Adobe Garamond Pro"/>
          <w:sz w:val="24"/>
          <w:szCs w:val="24"/>
        </w:rPr>
      </w:pPr>
      <w:r w:rsidRPr="00DF5E8A">
        <w:rPr>
          <w:rFonts w:ascii="Adobe Garamond Pro" w:hAnsi="Adobe Garamond Pro"/>
          <w:noProof/>
          <w:sz w:val="24"/>
          <w:szCs w:val="24"/>
        </w:rPr>
        <w:drawing>
          <wp:inline distT="0" distB="0" distL="0" distR="0">
            <wp:extent cx="5943600" cy="5915564"/>
            <wp:effectExtent l="0" t="0" r="0" b="9525"/>
            <wp:docPr id="7" name="Picture 7" descr="C:\Users\chris\Documents\Projects\bng_arsenic\figures\as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Documents\Projects\bng_arsenic\figures\as_his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3C6E">
        <w:rPr>
          <w:rFonts w:ascii="Adobe Garamond Pro" w:hAnsi="Adobe Garamond Pro"/>
          <w:sz w:val="24"/>
          <w:szCs w:val="24"/>
        </w:rPr>
        <w:br w:type="page"/>
      </w:r>
    </w:p>
    <w:p w:rsidR="001C3C6E" w:rsidRDefault="001C3C6E" w:rsidP="00691680">
      <w:pPr>
        <w:pStyle w:val="ListParagraph"/>
        <w:numPr>
          <w:ilvl w:val="0"/>
          <w:numId w:val="1"/>
        </w:numPr>
        <w:ind w:left="72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lastRenderedPageBreak/>
        <w:t>References</w:t>
      </w:r>
    </w:p>
    <w:p w:rsidR="001C3C6E" w:rsidRDefault="001C3C6E" w:rsidP="00691680">
      <w:pPr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br w:type="page"/>
      </w:r>
    </w:p>
    <w:p w:rsidR="001C3C6E" w:rsidRDefault="001C3C6E" w:rsidP="00691680">
      <w:pPr>
        <w:pStyle w:val="ListParagraph"/>
        <w:numPr>
          <w:ilvl w:val="0"/>
          <w:numId w:val="1"/>
        </w:numPr>
        <w:ind w:left="720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lastRenderedPageBreak/>
        <w:t>Appendix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### LOAD LIBRARIES ###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pacman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pacman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::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p_load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ggplot2,dplyr,rpart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e1071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library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leaps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### LOAD DATA ###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setwd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'C:/Projects/Vanderbilt/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bng_arsenic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/'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as.df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tbl_df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read.csv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'data/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bamwsp.csv</w:t>
      </w:r>
      <w:proofErr w:type="gram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,header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as.df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as.df,As_ppb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arsenic_ppb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xy.df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tbl_df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read.csv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'data/Mouza_25km.csv'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xy.df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rename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xy.df,geocode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GEO2,lon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X_COORD,lat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Y_COORD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df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left_join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as.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df,xy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.df,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by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'geocode'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df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geocode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as.factor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as.df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geocode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df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filter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filter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is.na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filter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depth_ft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filter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depth_ft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3000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filter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As_ppb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As_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ppb,depth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depth_ft,lon,lat,geocode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mutate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As_10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as.factor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ifelse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As_ppb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mutate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As_50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as.factor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ifelse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As_ppb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4000"/>
          <w:sz w:val="20"/>
          <w:szCs w:val="20"/>
        </w:rPr>
        <w:t>%&gt;%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mutate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ifelse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As_ppb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0.001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,As_ppb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log_as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log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### VISUALIZE DATA ###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Pairs plot with 10% of data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d.sample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sample_frac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0.</w:t>
      </w:r>
      <w:proofErr w:type="gramStart"/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replace</w:t>
      </w:r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pairs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(~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log_as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d.sample,upper.panel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,pch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'.'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Histogram of &gt;0 As Concentrations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d.gt0As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filter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d,as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hist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d.gt0As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as,breaks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,xlab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'As Concentration (ppb)'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counts'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,main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'Histogram of Non-Zero As Concentrations'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## Plot </w:t>
      </w:r>
      <w:proofErr w:type="gramStart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proofErr w:type="gramEnd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Concentrations vs Other Variables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Plot </w:t>
      </w:r>
      <w:proofErr w:type="gramStart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proofErr w:type="gramEnd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concentrations vs Depth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depth,axes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F,ann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darkgrey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axis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axis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box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mtext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'Arsenic Concentration (ppb)'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,side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line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,cex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par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cex.lab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mtext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'Depth (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ft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)'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,side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line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,cex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par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cex.lab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Plot </w:t>
      </w:r>
      <w:proofErr w:type="gramStart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proofErr w:type="gramEnd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concentrations vs Lon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lon,d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as,xlab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'Longitude'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'Arsenic Concentration (ppb)'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darkgrey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 xml:space="preserve"># Plot </w:t>
      </w:r>
      <w:proofErr w:type="gramStart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As</w:t>
      </w:r>
      <w:proofErr w:type="gramEnd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concentrations vs </w:t>
      </w:r>
      <w:proofErr w:type="spellStart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Lat</w:t>
      </w:r>
      <w:proofErr w:type="spellEnd"/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as,d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lat,ylab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'Latitude'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'Arsenic Concentration (ppb)'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darkgrey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## Determine variables using Best Subset Selection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regfit.full</w:t>
      </w:r>
      <w:proofErr w:type="spellEnd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regsubsets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depth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lat,d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reg.summary</w:t>
      </w:r>
      <w:proofErr w:type="spellEnd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summary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regfit.full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Plot model statistics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par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mfrow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reg.summary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rss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"Number of Variables"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RSS"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,type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"l"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best.rss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which.min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reg.summary</w:t>
      </w:r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rss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points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best.rss,reg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.summary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rss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best.rss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"red"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,cex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,pch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reg.summary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adjr2 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 Number of Variables 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 Adjusted 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RSq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,type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"l"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best.r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which.max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reg.summary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adjr2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points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best.r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2,reg.summary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adjr2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best.r2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"red"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,cex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,pch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reg.summary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xlab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"Number of Variables"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Cp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,type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best.cp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which.min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reg.summary</w:t>
      </w:r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points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best.cp,reg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.summary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cp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best.cp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"red"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,pch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reg.summary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bic,xlab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"Number of Variables"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ylab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BIC"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,type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'l'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best.bic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which.min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reg.summary</w:t>
      </w:r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bic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points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best.bic,reg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.summary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bic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best.bic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"red"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,cex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,pch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par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mfrow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regfit.full,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scale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"r2"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regfit.full,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scale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"adjr2"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regfit.full,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scale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Cp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regfit.full,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scale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proofErr w:type="spellStart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bic</w:t>
      </w:r>
      <w:proofErr w:type="spellEnd"/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### MODELS ###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num</w:t>
      </w:r>
      <w:proofErr w:type="spellEnd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folds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create index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folds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rep_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k, 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nrow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shuffle index using sample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folds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sample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folds, 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nrow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number of models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nmodels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matrix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NA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nrow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nrow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ncol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nmodels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k</w:t>
      </w:r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select rows in fold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fold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which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subset training data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train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 1 = null model of As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null1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 2 = null model of log(As)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null2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log_as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 3 = linear model of As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linear1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lm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 4 = linear model of log(As)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linear2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lm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log_as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 5 = regression tree of As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rtree1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rpart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 6 = regression tree of log(As)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rtree2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rpart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log_as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 7 = polynomial model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poly1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lm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poly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depth,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 8 = polynomial model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poly2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lm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poly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depth,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 9 = polynomial model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poly3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lm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poly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 10 = SVM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svm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svm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~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depth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data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test set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test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store observed and predictions for folds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exp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$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log_as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null1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exp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null2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predict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linear1,test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exp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predict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linear2,test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predict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rtree1,test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exp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predict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rtree2,test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predict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poly1,test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predict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poly2,test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predict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poly3,test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fold,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predict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svm,test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store errors in a </w:t>
      </w:r>
      <w:proofErr w:type="spellStart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dataframe</w:t>
      </w:r>
      <w:proofErr w:type="spellEnd"/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model.results</w:t>
      </w:r>
      <w:proofErr w:type="spellEnd"/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data.frame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obs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null1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null2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linear1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linear2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rtree1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rtree2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poly1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poly2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poly3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svm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model.error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rmse</w:t>
      </w:r>
      <w:proofErr w:type="spellEnd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function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rmse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function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obs,est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){</w:t>
      </w:r>
      <w:proofErr w:type="spell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sqrt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mean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obs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est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)^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,na.rm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))}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calculate </w:t>
      </w:r>
      <w:proofErr w:type="spellStart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rmse</w:t>
      </w:r>
      <w:proofErr w:type="spellEnd"/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models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rmse.all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&lt;-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apply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model.results</w:t>
      </w:r>
      <w:proofErr w:type="spellEnd"/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nmodels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rmse</w:t>
      </w:r>
      <w:proofErr w:type="spell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obs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model.results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### PLOTS ###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Models with RMSE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rmse.all,xaxt</w:t>
      </w:r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'n'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,xlab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'Model'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,ylab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'RMSE'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,ylim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range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max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rmse.all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axis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,at</w:t>
      </w:r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labels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names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rmse.all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points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Start"/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,rmse.all</w:t>
      </w:r>
      <w:proofErr w:type="gram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col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"red"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,pch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20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1D59">
        <w:rPr>
          <w:rFonts w:ascii="Courier New" w:eastAsia="Times New Roman" w:hAnsi="Courier New" w:cs="Courier New"/>
          <w:color w:val="008000"/>
          <w:sz w:val="20"/>
          <w:szCs w:val="20"/>
        </w:rPr>
        <w:t># Best Model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plot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rtree1, uniform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, main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808080"/>
          <w:sz w:val="20"/>
          <w:szCs w:val="20"/>
        </w:rPr>
        <w:t>"Regression Tree for Arsenic Concentration"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text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rtree1, </w:t>
      </w:r>
      <w:r w:rsidRPr="005C1D59">
        <w:rPr>
          <w:rFonts w:ascii="Courier New" w:eastAsia="Times New Roman" w:hAnsi="Courier New" w:cs="Courier New"/>
          <w:color w:val="8000FF"/>
          <w:sz w:val="20"/>
          <w:szCs w:val="20"/>
        </w:rPr>
        <w:t>all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5C1D59">
        <w:rPr>
          <w:rFonts w:ascii="Courier New" w:eastAsia="Times New Roman" w:hAnsi="Courier New" w:cs="Courier New"/>
          <w:color w:val="000000"/>
          <w:sz w:val="20"/>
          <w:szCs w:val="20"/>
        </w:rPr>
        <w:t>cex</w:t>
      </w:r>
      <w:proofErr w:type="spellEnd"/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5C1D59">
        <w:rPr>
          <w:rFonts w:ascii="Courier New" w:eastAsia="Times New Roman" w:hAnsi="Courier New" w:cs="Courier New"/>
          <w:color w:val="FF8000"/>
          <w:sz w:val="20"/>
          <w:szCs w:val="20"/>
        </w:rPr>
        <w:t>.8</w:t>
      </w:r>
      <w:r w:rsidRPr="005C1D59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C1D59" w:rsidRPr="005C1D59" w:rsidRDefault="005C1D59" w:rsidP="005C1D59">
      <w:pPr>
        <w:rPr>
          <w:rFonts w:ascii="Adobe Garamond Pro" w:hAnsi="Adobe Garamond Pro"/>
          <w:sz w:val="24"/>
          <w:szCs w:val="24"/>
        </w:rPr>
      </w:pPr>
    </w:p>
    <w:sectPr w:rsidR="005C1D59" w:rsidRPr="005C1D5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95D" w:rsidRDefault="0089195D" w:rsidP="0092530C">
      <w:pPr>
        <w:spacing w:after="0" w:line="240" w:lineRule="auto"/>
      </w:pPr>
      <w:r>
        <w:separator/>
      </w:r>
    </w:p>
  </w:endnote>
  <w:endnote w:type="continuationSeparator" w:id="0">
    <w:p w:rsidR="0089195D" w:rsidRDefault="0089195D" w:rsidP="00925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2170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530C" w:rsidRDefault="009253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5E8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92530C" w:rsidRDefault="009253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95D" w:rsidRDefault="0089195D" w:rsidP="0092530C">
      <w:pPr>
        <w:spacing w:after="0" w:line="240" w:lineRule="auto"/>
      </w:pPr>
      <w:r>
        <w:separator/>
      </w:r>
    </w:p>
  </w:footnote>
  <w:footnote w:type="continuationSeparator" w:id="0">
    <w:p w:rsidR="0089195D" w:rsidRDefault="0089195D" w:rsidP="00925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46D9"/>
    <w:multiLevelType w:val="hybridMultilevel"/>
    <w:tmpl w:val="209ED39A"/>
    <w:lvl w:ilvl="0" w:tplc="C8447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6E"/>
    <w:rsid w:val="0005053B"/>
    <w:rsid w:val="000A10FB"/>
    <w:rsid w:val="000C132E"/>
    <w:rsid w:val="00122705"/>
    <w:rsid w:val="00130111"/>
    <w:rsid w:val="00133397"/>
    <w:rsid w:val="001954E6"/>
    <w:rsid w:val="001C3C6E"/>
    <w:rsid w:val="00291E07"/>
    <w:rsid w:val="002C5698"/>
    <w:rsid w:val="002E457E"/>
    <w:rsid w:val="003A11A9"/>
    <w:rsid w:val="003A427D"/>
    <w:rsid w:val="003C4999"/>
    <w:rsid w:val="003E5A0A"/>
    <w:rsid w:val="004360E6"/>
    <w:rsid w:val="0048717E"/>
    <w:rsid w:val="004A36D3"/>
    <w:rsid w:val="004B3462"/>
    <w:rsid w:val="0055411A"/>
    <w:rsid w:val="005C1D59"/>
    <w:rsid w:val="005F52C7"/>
    <w:rsid w:val="00691680"/>
    <w:rsid w:val="006F48A0"/>
    <w:rsid w:val="007030AC"/>
    <w:rsid w:val="0089195D"/>
    <w:rsid w:val="0092530C"/>
    <w:rsid w:val="009B204A"/>
    <w:rsid w:val="00A27F32"/>
    <w:rsid w:val="00B40C1C"/>
    <w:rsid w:val="00B676B8"/>
    <w:rsid w:val="00D11FEC"/>
    <w:rsid w:val="00D366C7"/>
    <w:rsid w:val="00DB24E9"/>
    <w:rsid w:val="00DE1C86"/>
    <w:rsid w:val="00DE7BDF"/>
    <w:rsid w:val="00DF5E8A"/>
    <w:rsid w:val="00E35446"/>
    <w:rsid w:val="00F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953C"/>
  <w15:chartTrackingRefBased/>
  <w15:docId w15:val="{446FD686-9A26-4517-A996-EDC5C251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C6E"/>
    <w:pPr>
      <w:ind w:left="720"/>
      <w:contextualSpacing/>
    </w:pPr>
  </w:style>
  <w:style w:type="table" w:styleId="TableGrid">
    <w:name w:val="Table Grid"/>
    <w:basedOn w:val="TableNormal"/>
    <w:uiPriority w:val="39"/>
    <w:rsid w:val="0012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7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30C"/>
  </w:style>
  <w:style w:type="paragraph" w:styleId="Footer">
    <w:name w:val="footer"/>
    <w:basedOn w:val="Normal"/>
    <w:link w:val="FooterChar"/>
    <w:uiPriority w:val="99"/>
    <w:unhideWhenUsed/>
    <w:rsid w:val="00925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30C"/>
  </w:style>
  <w:style w:type="paragraph" w:customStyle="1" w:styleId="msonormal0">
    <w:name w:val="msonormal"/>
    <w:basedOn w:val="Normal"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1">
    <w:name w:val="sc1"/>
    <w:basedOn w:val="Normal"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2">
    <w:name w:val="sc2"/>
    <w:basedOn w:val="Normal"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3">
    <w:name w:val="sc3"/>
    <w:basedOn w:val="Normal"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5">
    <w:name w:val="sc5"/>
    <w:basedOn w:val="Normal"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6">
    <w:name w:val="sc6"/>
    <w:basedOn w:val="Normal"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8">
    <w:name w:val="sc8"/>
    <w:basedOn w:val="Normal"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0">
    <w:name w:val="sc10"/>
    <w:basedOn w:val="Normal"/>
    <w:rsid w:val="005C1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character" w:customStyle="1" w:styleId="sc11">
    <w:name w:val="sc11"/>
    <w:basedOn w:val="DefaultParagraphFont"/>
    <w:rsid w:val="005C1D5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5C1D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C1D5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DefaultParagraphFont"/>
    <w:rsid w:val="005C1D5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DefaultParagraphFont"/>
    <w:rsid w:val="005C1D5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5C1D5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01">
    <w:name w:val="sc101"/>
    <w:basedOn w:val="DefaultParagraphFont"/>
    <w:rsid w:val="005C1D5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DefaultParagraphFont"/>
    <w:rsid w:val="005C1D5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5C1D5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5C1D59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49646-D5D0-4224-ACD1-37CE0F9E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13</Pages>
  <Words>1801</Words>
  <Characters>10271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Tasich, Christopher Milos</dc:creator>
  <cp:keywords/>
  <dc:description/>
  <cp:lastModifiedBy>Chris Tasich</cp:lastModifiedBy>
  <cp:revision>5</cp:revision>
  <dcterms:created xsi:type="dcterms:W3CDTF">2016-12-08T22:48:00Z</dcterms:created>
  <dcterms:modified xsi:type="dcterms:W3CDTF">2016-12-10T06:36:00Z</dcterms:modified>
</cp:coreProperties>
</file>