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users/forms.py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Error messages are placed in views.py</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class UserRegisterForm(UserCreationForm)</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