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14:paraId="00000002">
      <w:pPr>
        <w:tabs>
          <w:tab w:val="left" w:pos="3060"/>
        </w:tabs>
        <w:rPr>
          <w:rFonts w:ascii="Garamond" w:cs="Garamond" w:eastAsia="Garamond" w:hAnsi="Garamond"/>
          <w:sz w:val="20"/>
          <w:szCs w:val="20"/>
        </w:rPr>
      </w:pPr>
      <w:r w:rsidDel="00000000" w:rsidR="00000000" w:rsidRPr="00000000">
        <w:rPr>
          <w:rtl w:val="0"/>
        </w:rPr>
      </w:r>
    </w:p>
    <w:tbl>
      <w:tblPr>
        <w:tblStyle w:val="Table1"/>
        <w:tblW w:w="8640.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Iskolendar</w:t>
            </w:r>
            <w:r w:rsidDel="00000000" w:rsidR="00000000" w:rsidRPr="00000000">
              <w:rPr>
                <w:rtl w:val="0"/>
              </w:rPr>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Allure Tanquintic</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3</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03/08/19</w:t>
            </w: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templates/announcement_form.html</w:t>
            </w:r>
            <w:r w:rsidDel="00000000" w:rsidR="00000000" w:rsidRPr="00000000">
              <w:rPr>
                <w:rtl w:val="0"/>
              </w:rPr>
            </w:r>
          </w:p>
        </w:tc>
      </w:tr>
    </w:tbl>
    <w:p w:rsidR="00000000" w:rsidDel="00000000" w:rsidP="00000000" w:rsidRDefault="00000000" w:rsidRPr="00000000" w14:paraId="00000014">
      <w:pPr>
        <w:tabs>
          <w:tab w:val="left" w:pos="3060"/>
        </w:tabs>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5">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14:paraId="00000016">
      <w:pP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8">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14:paraId="0000001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1A">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Pr>
          <w:p w:rsidR="00000000" w:rsidDel="00000000" w:rsidP="00000000" w:rsidRDefault="00000000" w:rsidRPr="00000000" w14:paraId="0000002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Pr>
          <w:p w:rsidR="00000000" w:rsidDel="00000000" w:rsidP="00000000" w:rsidRDefault="00000000" w:rsidRPr="00000000" w14:paraId="0000002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Pr>
          <w:p w:rsidR="00000000" w:rsidDel="00000000" w:rsidP="00000000" w:rsidRDefault="00000000" w:rsidRPr="00000000" w14:paraId="0000002D">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30">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1">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32">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Pr>
          <w:p w:rsidR="00000000" w:rsidDel="00000000" w:rsidP="00000000" w:rsidRDefault="00000000" w:rsidRPr="00000000" w14:paraId="0000003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Pr>
          <w:p w:rsidR="00000000" w:rsidDel="00000000" w:rsidP="00000000" w:rsidRDefault="00000000" w:rsidRPr="00000000" w14:paraId="0000004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43">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4">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5">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6">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7">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8">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9">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A">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B">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C">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D">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E">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4F">
      <w:pPr>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050">
      <w:pPr>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Pr>
          <w:p w:rsidR="00000000" w:rsidDel="00000000" w:rsidP="00000000" w:rsidRDefault="00000000" w:rsidRPr="00000000" w14:paraId="0000005A">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Pr>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Pr>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1">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Pr>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5">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Pr>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69">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Pr>
          <w:p w:rsidR="00000000" w:rsidDel="00000000" w:rsidP="00000000" w:rsidRDefault="00000000" w:rsidRPr="00000000" w14:paraId="0000007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Pr>
          <w:p w:rsidR="00000000" w:rsidDel="00000000" w:rsidP="00000000" w:rsidRDefault="00000000" w:rsidRPr="00000000" w14:paraId="0000007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Pr>
          <w:p w:rsidR="00000000" w:rsidDel="00000000" w:rsidP="00000000" w:rsidRDefault="00000000" w:rsidRPr="00000000" w14:paraId="00000078">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Pr>
          <w:p w:rsidR="00000000" w:rsidDel="00000000" w:rsidP="00000000" w:rsidRDefault="00000000" w:rsidRPr="00000000" w14:paraId="0000007C">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Pr>
          <w:p w:rsidR="00000000" w:rsidDel="00000000" w:rsidP="00000000" w:rsidRDefault="00000000" w:rsidRPr="00000000" w14:paraId="00000080">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Parentheses</w:t>
            </w: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are used to remove operator precedence ambiguity and improve code readability.</w:t>
            </w:r>
          </w:p>
        </w:tc>
        <w:tc>
          <w:tcPr>
            <w:tcBorders>
              <w:left w:color="000000" w:space="0" w:sz="4" w:val="single"/>
              <w:bottom w:color="000000" w:space="0" w:sz="4" w:val="single"/>
            </w:tcBorders>
            <w:shd w:fill="auto" w:val="clear"/>
          </w:tcPr>
          <w:p w:rsidR="00000000" w:rsidDel="00000000" w:rsidP="00000000" w:rsidRDefault="00000000" w:rsidRPr="00000000" w14:paraId="00000084">
            <w:pPr>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color w:val="222222"/>
                <w:sz w:val="24"/>
                <w:szCs w:val="24"/>
                <w:highlight w:val="white"/>
                <w:rtl w:val="0"/>
              </w:rPr>
              <w:t xml:space="preserve">✔</w:t>
            </w: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Pr>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sz w:val="20"/>
                <w:szCs w:val="20"/>
                <w:rtl w:val="0"/>
              </w:rPr>
              <w:t xml:space="preserve">Not applicable. No need for error messages. It just displays the events.</w:t>
            </w:r>
            <w:r w:rsidDel="00000000" w:rsidR="00000000" w:rsidRPr="00000000">
              <w:rPr>
                <w:rtl w:val="0"/>
              </w:rPr>
            </w:r>
          </w:p>
        </w:tc>
      </w:tr>
    </w:tbl>
    <w:p w:rsidR="00000000" w:rsidDel="00000000" w:rsidP="00000000" w:rsidRDefault="00000000" w:rsidRPr="00000000" w14:paraId="0000008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8D">
      <w:pPr>
        <w:pStyle w:val="Heading1"/>
        <w:numPr>
          <w:ilvl w:val="0"/>
          <w:numId w:val="1"/>
        </w:numPr>
        <w:ind w:left="432" w:hanging="432"/>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0.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Pr>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Pr>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Pr>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Pr>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9A">
      <w:pPr>
        <w:rPr>
          <w:rFonts w:ascii="Garamond" w:cs="Garamond" w:eastAsia="Garamond" w:hAnsi="Garamond"/>
          <w:b w:val="0"/>
          <w:sz w:val="20"/>
          <w:szCs w:val="20"/>
        </w:rPr>
      </w:pPr>
      <w:r w:rsidDel="00000000" w:rsidR="00000000" w:rsidRPr="00000000">
        <w:rPr>
          <w:rFonts w:ascii="Garamond" w:cs="Garamond" w:eastAsia="Garamond" w:hAnsi="Garamond"/>
          <w:sz w:val="20"/>
          <w:szCs w:val="20"/>
          <w:rtl w:val="0"/>
        </w:rPr>
        <w:t xml:space="preserve">*not applicable. this is an html file.</w:t>
      </w:r>
      <w:r w:rsidDel="00000000" w:rsidR="00000000" w:rsidRPr="00000000">
        <w:rPr>
          <w:rtl w:val="0"/>
        </w:rPr>
      </w:r>
    </w:p>
    <w:p w:rsidR="00000000" w:rsidDel="00000000" w:rsidP="00000000" w:rsidRDefault="00000000" w:rsidRPr="00000000" w14:paraId="0000009B">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C">
      <w:pPr>
        <w:pStyle w:val="Heading1"/>
        <w:numPr>
          <w:ilvl w:val="0"/>
          <w:numId w:val="1"/>
        </w:numPr>
        <w:ind w:left="432" w:hanging="432"/>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D">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E">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9F">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0">
      <w:pPr>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14:paraId="000000A1">
      <w:pPr>
        <w:pStyle w:val="Heading1"/>
        <w:numPr>
          <w:ilvl w:val="0"/>
          <w:numId w:val="1"/>
        </w:numPr>
        <w:ind w:left="432" w:hanging="432"/>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  </w:t>
      </w:r>
      <w:r w:rsidDel="00000000" w:rsidR="00000000" w:rsidRPr="00000000">
        <w:rPr>
          <w:rFonts w:ascii="Garamond" w:cs="Garamond" w:eastAsia="Garamond" w:hAnsi="Garamond"/>
          <w:b w:val="0"/>
          <w:sz w:val="20"/>
          <w:szCs w:val="20"/>
          <w:rtl w:val="0"/>
        </w:rPr>
        <w:t xml:space="preserve">None</w:t>
      </w:r>
      <w:r w:rsidDel="00000000" w:rsidR="00000000" w:rsidRPr="00000000">
        <w:rPr>
          <w:rFonts w:ascii="Garamond" w:cs="Garamond" w:eastAsia="Garamond" w:hAnsi="Garamond"/>
          <w:sz w:val="20"/>
          <w:szCs w:val="20"/>
          <w:rtl w:val="0"/>
        </w:rPr>
        <w:br w:type="textWrapping"/>
      </w:r>
    </w:p>
    <w:p w:rsidR="00000000" w:rsidDel="00000000" w:rsidP="00000000" w:rsidRDefault="00000000" w:rsidRPr="00000000" w14:paraId="000000A2">
      <w:pPr>
        <w:rPr>
          <w:rFonts w:ascii="Garamond" w:cs="Garamond" w:eastAsia="Garamond" w:hAnsi="Garamond"/>
          <w:sz w:val="24"/>
          <w:szCs w:val="24"/>
        </w:rPr>
      </w:pP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Verdana"/>
  <w:font w:name="Times New Roman"/>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Verdana" w:cs="Verdana" w:eastAsia="Verdana" w:hAnsi="Verdana"/>
        <w:b w:val="0"/>
        <w:i w:val="0"/>
        <w:smallCaps w:val="0"/>
        <w:strike w:val="0"/>
        <w:color w:val="000000"/>
        <w:sz w:val="12"/>
        <w:szCs w:val="1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48"/>
        <w:szCs w:val="48"/>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