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04/05/2019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maincalendar/views.py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def addbookmark(request)</w:t>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def removebookmark(request)</w:t>
            </w:r>
          </w:p>
        </w:tc>
        <w:tc>
          <w:tcPr>
            <w:tcBorders>
              <w:left w:color="000000" w:space="0" w:sz="4" w:val="single"/>
              <w:bottom w:color="000000" w:space="0" w:sz="4" w:val="single"/>
            </w:tcBorders>
            <w:shd w:fill="auto" w:val="clear"/>
          </w:tcPr>
          <w:p w:rsidR="00000000" w:rsidDel="00000000" w:rsidP="00000000" w:rsidRDefault="00000000" w:rsidRPr="00000000" w14:paraId="0000009D">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E">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def personal_calendar(request)</w:t>
            </w:r>
          </w:p>
        </w:tc>
        <w:tc>
          <w:tcPr>
            <w:tcBorders>
              <w:left w:color="000000" w:space="0" w:sz="4" w:val="single"/>
              <w:bottom w:color="000000" w:space="0" w:sz="4" w:val="single"/>
            </w:tcBorders>
            <w:shd w:fill="auto" w:val="clear"/>
          </w:tcPr>
          <w:p w:rsidR="00000000" w:rsidDel="00000000" w:rsidP="00000000" w:rsidRDefault="00000000" w:rsidRPr="00000000" w14:paraId="000000A1">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2">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edited context list</w:t>
            </w:r>
          </w:p>
        </w:tc>
      </w:tr>
    </w:tbl>
    <w:p w:rsidR="00000000" w:rsidDel="00000000" w:rsidP="00000000" w:rsidRDefault="00000000" w:rsidRPr="00000000" w14:paraId="000000A4">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5">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6">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7">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8">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A">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B">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C">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