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6843D" w14:textId="77777777" w:rsidR="007B5AC0" w:rsidRPr="00C334AF" w:rsidRDefault="007B5AC0" w:rsidP="00C334AF">
      <w:pPr>
        <w:spacing w:line="360" w:lineRule="auto"/>
        <w:rPr>
          <w:sz w:val="24"/>
          <w:szCs w:val="24"/>
          <w:lang w:val="en-US"/>
        </w:rPr>
      </w:pPr>
      <w:r w:rsidRPr="00C334AF">
        <w:rPr>
          <w:sz w:val="24"/>
          <w:szCs w:val="24"/>
          <w:lang w:val="en-US"/>
        </w:rPr>
        <w:t>Statistical analysis plan</w:t>
      </w:r>
    </w:p>
    <w:p w14:paraId="67BBC557" w14:textId="77777777" w:rsidR="00CB0AFB" w:rsidRPr="002C6611" w:rsidRDefault="006A700A" w:rsidP="007B5AC0">
      <w:pPr>
        <w:spacing w:line="360" w:lineRule="auto"/>
        <w:rPr>
          <w:b/>
          <w:sz w:val="24"/>
          <w:szCs w:val="24"/>
          <w:lang w:val="en-US"/>
        </w:rPr>
      </w:pPr>
      <w:r w:rsidRPr="002C6611">
        <w:rPr>
          <w:b/>
          <w:sz w:val="24"/>
          <w:szCs w:val="24"/>
          <w:lang w:val="en-US"/>
        </w:rPr>
        <w:t>Objectives</w:t>
      </w:r>
    </w:p>
    <w:p w14:paraId="298E88C0" w14:textId="77777777" w:rsidR="00CB0AFB" w:rsidRDefault="00CB0AFB" w:rsidP="007B5AC0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study, we aim to examine the relative effects on the perioperative treatment with </w:t>
      </w:r>
      <w:r w:rsidR="00E43C05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 xml:space="preserve"> specific antithrombotic drugs on the </w:t>
      </w:r>
      <w:r w:rsidR="00195B52">
        <w:rPr>
          <w:sz w:val="24"/>
          <w:szCs w:val="24"/>
          <w:lang w:val="en-US"/>
        </w:rPr>
        <w:t>incidence</w:t>
      </w:r>
      <w:r>
        <w:rPr>
          <w:sz w:val="24"/>
          <w:szCs w:val="24"/>
          <w:lang w:val="en-US"/>
        </w:rPr>
        <w:t xml:space="preserve"> of prosthetic joint infections </w:t>
      </w:r>
      <w:r w:rsidR="006A700A">
        <w:rPr>
          <w:sz w:val="24"/>
          <w:szCs w:val="24"/>
          <w:lang w:val="en-US"/>
        </w:rPr>
        <w:t xml:space="preserve">(PJIs) </w:t>
      </w:r>
      <w:r>
        <w:rPr>
          <w:sz w:val="24"/>
          <w:szCs w:val="24"/>
          <w:lang w:val="en-US"/>
        </w:rPr>
        <w:t xml:space="preserve">after prosthesis surgery. </w:t>
      </w:r>
      <w:r w:rsidR="009C6DA9">
        <w:rPr>
          <w:sz w:val="24"/>
          <w:szCs w:val="24"/>
          <w:lang w:val="en-US"/>
        </w:rPr>
        <w:t xml:space="preserve">Previous studies have provided heterogenous results, and there is clinical equipoise regarding the optimal choice of thromboprophylaxis. </w:t>
      </w:r>
      <w:r>
        <w:rPr>
          <w:sz w:val="24"/>
          <w:szCs w:val="24"/>
          <w:lang w:val="en-US"/>
        </w:rPr>
        <w:t xml:space="preserve">We will also estimate </w:t>
      </w:r>
      <w:r w:rsidR="00E43C05">
        <w:rPr>
          <w:sz w:val="24"/>
          <w:szCs w:val="24"/>
          <w:lang w:val="en-US"/>
        </w:rPr>
        <w:t xml:space="preserve">90 day </w:t>
      </w:r>
      <w:r>
        <w:rPr>
          <w:sz w:val="24"/>
          <w:szCs w:val="24"/>
          <w:lang w:val="en-US"/>
        </w:rPr>
        <w:t xml:space="preserve">baseline </w:t>
      </w:r>
      <w:r w:rsidR="00195B52">
        <w:rPr>
          <w:sz w:val="24"/>
          <w:szCs w:val="24"/>
          <w:lang w:val="en-US"/>
        </w:rPr>
        <w:t xml:space="preserve">cumulative incidence </w:t>
      </w:r>
      <w:r>
        <w:rPr>
          <w:sz w:val="24"/>
          <w:szCs w:val="24"/>
          <w:lang w:val="en-US"/>
        </w:rPr>
        <w:t xml:space="preserve">of </w:t>
      </w:r>
      <w:r w:rsidR="006A700A">
        <w:rPr>
          <w:sz w:val="24"/>
          <w:szCs w:val="24"/>
          <w:lang w:val="en-US"/>
        </w:rPr>
        <w:t>PJI</w:t>
      </w:r>
      <w:r>
        <w:rPr>
          <w:sz w:val="24"/>
          <w:szCs w:val="24"/>
          <w:lang w:val="en-US"/>
        </w:rPr>
        <w:t xml:space="preserve"> in </w:t>
      </w:r>
      <w:r w:rsidR="009C6DA9">
        <w:rPr>
          <w:sz w:val="24"/>
          <w:szCs w:val="24"/>
          <w:lang w:val="en-US"/>
        </w:rPr>
        <w:t xml:space="preserve">Mexican </w:t>
      </w:r>
      <w:r>
        <w:rPr>
          <w:sz w:val="24"/>
          <w:szCs w:val="24"/>
          <w:lang w:val="en-US"/>
        </w:rPr>
        <w:t xml:space="preserve">patients not having received chemical thromboprophylaxis in four different surgical population: patients receiving hip, knee, ankle and shoulder prostheses. </w:t>
      </w:r>
    </w:p>
    <w:p w14:paraId="5C21080A" w14:textId="77777777" w:rsidR="00CB0AFB" w:rsidRPr="002C6611" w:rsidRDefault="00CB0AFB" w:rsidP="007B5AC0">
      <w:pPr>
        <w:spacing w:line="360" w:lineRule="auto"/>
        <w:rPr>
          <w:b/>
          <w:sz w:val="24"/>
          <w:szCs w:val="24"/>
          <w:lang w:val="en-US"/>
        </w:rPr>
      </w:pPr>
      <w:r w:rsidRPr="002C6611">
        <w:rPr>
          <w:b/>
          <w:sz w:val="24"/>
          <w:szCs w:val="24"/>
          <w:lang w:val="en-US"/>
        </w:rPr>
        <w:t>Data source</w:t>
      </w:r>
    </w:p>
    <w:p w14:paraId="7A3E3CC0" w14:textId="77777777" w:rsidR="009C6DA9" w:rsidRDefault="006A700A" w:rsidP="007B5AC0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will analyze data sets from the Prosthesis Surgery Registry in Mexico. All patients with available data in from registry inception until the current date will be analyzed. </w:t>
      </w:r>
    </w:p>
    <w:p w14:paraId="40AD78C7" w14:textId="77777777" w:rsidR="009C6DA9" w:rsidRPr="002C6611" w:rsidRDefault="009C6DA9" w:rsidP="007B5AC0">
      <w:pPr>
        <w:spacing w:line="360" w:lineRule="auto"/>
        <w:rPr>
          <w:b/>
          <w:sz w:val="24"/>
          <w:szCs w:val="24"/>
          <w:lang w:val="en-US"/>
        </w:rPr>
      </w:pPr>
      <w:r w:rsidRPr="002C6611">
        <w:rPr>
          <w:b/>
          <w:sz w:val="24"/>
          <w:szCs w:val="24"/>
          <w:lang w:val="en-US"/>
        </w:rPr>
        <w:t>Subgroup analyses</w:t>
      </w:r>
    </w:p>
    <w:p w14:paraId="59FF3AD7" w14:textId="77777777" w:rsidR="009C6DA9" w:rsidRDefault="009C6DA9" w:rsidP="009C6DA9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baseline </w:t>
      </w:r>
      <w:r w:rsidR="00195B52">
        <w:rPr>
          <w:sz w:val="24"/>
          <w:szCs w:val="24"/>
          <w:lang w:val="en-US"/>
        </w:rPr>
        <w:t>90-day</w:t>
      </w:r>
      <w:r w:rsidR="00E43C05">
        <w:rPr>
          <w:sz w:val="24"/>
          <w:szCs w:val="24"/>
          <w:lang w:val="en-US"/>
        </w:rPr>
        <w:t xml:space="preserve"> </w:t>
      </w:r>
      <w:r w:rsidR="00195B52">
        <w:rPr>
          <w:sz w:val="24"/>
          <w:szCs w:val="24"/>
          <w:lang w:val="en-US"/>
        </w:rPr>
        <w:t xml:space="preserve">cumulative incidences </w:t>
      </w:r>
      <w:r>
        <w:rPr>
          <w:sz w:val="24"/>
          <w:szCs w:val="24"/>
          <w:lang w:val="en-US"/>
        </w:rPr>
        <w:t xml:space="preserve">of PJI for each surgical population (hip, knee, shoulder and ankle) without chemical thromboprophylaxis, a subset of the data corresponding to the relevant population will be generated. For the relative effects of different antithrombotic drugs on the </w:t>
      </w:r>
      <w:r w:rsidR="00195B52">
        <w:rPr>
          <w:sz w:val="24"/>
          <w:szCs w:val="24"/>
          <w:lang w:val="en-US"/>
        </w:rPr>
        <w:t xml:space="preserve">cumulative incidence </w:t>
      </w:r>
      <w:r>
        <w:rPr>
          <w:sz w:val="24"/>
          <w:szCs w:val="24"/>
          <w:lang w:val="en-US"/>
        </w:rPr>
        <w:t>of PJI, estimates will be calculated based on the entire data set.</w:t>
      </w:r>
    </w:p>
    <w:p w14:paraId="2F812E10" w14:textId="77777777" w:rsidR="009C6DA9" w:rsidRPr="002C6611" w:rsidRDefault="009C6DA9" w:rsidP="007B5AC0">
      <w:pPr>
        <w:spacing w:line="360" w:lineRule="auto"/>
        <w:rPr>
          <w:b/>
          <w:sz w:val="24"/>
          <w:szCs w:val="24"/>
          <w:lang w:val="en-US"/>
        </w:rPr>
      </w:pPr>
      <w:r w:rsidRPr="002C6611">
        <w:rPr>
          <w:b/>
          <w:sz w:val="24"/>
          <w:szCs w:val="24"/>
          <w:lang w:val="en-US"/>
        </w:rPr>
        <w:t>Endpoints</w:t>
      </w:r>
    </w:p>
    <w:p w14:paraId="09D0DB21" w14:textId="77777777" w:rsidR="009C6DA9" w:rsidRDefault="009C6DA9" w:rsidP="007B5AC0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primary outcome will be whether a prosthesis infection has developed before the </w:t>
      </w:r>
      <w:r w:rsidR="007A5464">
        <w:rPr>
          <w:sz w:val="24"/>
          <w:szCs w:val="24"/>
          <w:lang w:val="en-US"/>
        </w:rPr>
        <w:t>9</w:t>
      </w:r>
      <w:r>
        <w:rPr>
          <w:sz w:val="24"/>
          <w:szCs w:val="24"/>
          <w:lang w:val="en-US"/>
        </w:rPr>
        <w:t>0</w:t>
      </w:r>
      <w:r w:rsidRPr="009C6DA9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postoperative day.</w:t>
      </w:r>
      <w:r w:rsidR="007A5464">
        <w:rPr>
          <w:sz w:val="24"/>
          <w:szCs w:val="24"/>
          <w:lang w:val="en-US"/>
        </w:rPr>
        <w:t xml:space="preserve"> We assume no infections directly related to the surgical procedure will arise after this.</w:t>
      </w:r>
      <w:r w:rsidR="00E902C3">
        <w:rPr>
          <w:sz w:val="24"/>
          <w:szCs w:val="24"/>
          <w:lang w:val="en-US"/>
        </w:rPr>
        <w:t xml:space="preserve"> The primary endpoint will be generated from registry data as a dichotomous variable (</w:t>
      </w:r>
      <w:r w:rsidR="00E902C3" w:rsidRPr="00E902C3">
        <w:rPr>
          <w:i/>
          <w:sz w:val="24"/>
          <w:szCs w:val="24"/>
          <w:lang w:val="en-US"/>
        </w:rPr>
        <w:t>prost_inf</w:t>
      </w:r>
      <w:r w:rsidR="00E902C3">
        <w:rPr>
          <w:sz w:val="24"/>
          <w:szCs w:val="24"/>
          <w:lang w:val="en-US"/>
        </w:rPr>
        <w:t>)</w:t>
      </w:r>
    </w:p>
    <w:p w14:paraId="2C73471F" w14:textId="77777777" w:rsidR="009C6DA9" w:rsidRPr="002C6611" w:rsidRDefault="00E902C3" w:rsidP="007B5AC0">
      <w:pPr>
        <w:spacing w:line="360" w:lineRule="auto"/>
        <w:rPr>
          <w:b/>
          <w:sz w:val="24"/>
          <w:szCs w:val="24"/>
          <w:lang w:val="en-US"/>
        </w:rPr>
      </w:pPr>
      <w:r w:rsidRPr="002C6611">
        <w:rPr>
          <w:b/>
          <w:sz w:val="24"/>
          <w:szCs w:val="24"/>
          <w:lang w:val="en-US"/>
        </w:rPr>
        <w:t>Exposures and c</w:t>
      </w:r>
      <w:r w:rsidR="009C6DA9" w:rsidRPr="002C6611">
        <w:rPr>
          <w:b/>
          <w:sz w:val="24"/>
          <w:szCs w:val="24"/>
          <w:lang w:val="en-US"/>
        </w:rPr>
        <w:t>ovariates</w:t>
      </w:r>
    </w:p>
    <w:p w14:paraId="5D7C4AB3" w14:textId="77777777" w:rsidR="009C6DA9" w:rsidRDefault="009C6DA9" w:rsidP="007B5AC0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following covariates will be </w:t>
      </w:r>
      <w:r w:rsidR="00A812D2">
        <w:rPr>
          <w:sz w:val="24"/>
          <w:szCs w:val="24"/>
          <w:lang w:val="en-US"/>
        </w:rPr>
        <w:t>generated from registry data:</w:t>
      </w:r>
    </w:p>
    <w:p w14:paraId="044A9816" w14:textId="77777777" w:rsidR="00A812D2" w:rsidRDefault="007A5464" w:rsidP="007A5464">
      <w:pPr>
        <w:pStyle w:val="Listeavsnitt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Age at surgery (</w:t>
      </w:r>
      <w:r w:rsidRPr="00E902C3">
        <w:rPr>
          <w:i/>
          <w:sz w:val="24"/>
          <w:szCs w:val="24"/>
          <w:lang w:val="en-US"/>
        </w:rPr>
        <w:t>age</w:t>
      </w:r>
      <w:r>
        <w:rPr>
          <w:sz w:val="24"/>
          <w:szCs w:val="24"/>
          <w:lang w:val="en-US"/>
        </w:rPr>
        <w:t xml:space="preserve"> - integer)</w:t>
      </w:r>
    </w:p>
    <w:p w14:paraId="3CB93C6A" w14:textId="77777777" w:rsidR="007A5464" w:rsidRDefault="007A5464" w:rsidP="007A5464">
      <w:pPr>
        <w:pStyle w:val="Listeavsnitt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Location of surgery (</w:t>
      </w:r>
      <w:r w:rsidRPr="00E902C3">
        <w:rPr>
          <w:i/>
          <w:sz w:val="24"/>
          <w:szCs w:val="24"/>
          <w:lang w:val="en-US"/>
        </w:rPr>
        <w:t>surg_location</w:t>
      </w:r>
      <w:r>
        <w:rPr>
          <w:sz w:val="24"/>
          <w:szCs w:val="24"/>
          <w:lang w:val="en-US"/>
        </w:rPr>
        <w:t xml:space="preserve"> – factor variable [HIP, KNEE, SHOULDER, ANKLE])</w:t>
      </w:r>
    </w:p>
    <w:p w14:paraId="294F7FBB" w14:textId="77777777" w:rsidR="007A5464" w:rsidRDefault="007A5464" w:rsidP="007A5464">
      <w:pPr>
        <w:pStyle w:val="Listeavsnitt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Gender (</w:t>
      </w:r>
      <w:r w:rsidRPr="00E902C3">
        <w:rPr>
          <w:i/>
          <w:sz w:val="24"/>
          <w:szCs w:val="24"/>
          <w:lang w:val="en-US"/>
        </w:rPr>
        <w:t>gender</w:t>
      </w:r>
      <w:r>
        <w:rPr>
          <w:sz w:val="24"/>
          <w:szCs w:val="24"/>
          <w:lang w:val="en-US"/>
        </w:rPr>
        <w:t xml:space="preserve"> - dichotomous)</w:t>
      </w:r>
    </w:p>
    <w:p w14:paraId="69E3FEE0" w14:textId="77777777" w:rsidR="007A5464" w:rsidRDefault="007A5464" w:rsidP="007A5464">
      <w:pPr>
        <w:pStyle w:val="Listeavsnitt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Health institution performing surgery (</w:t>
      </w:r>
      <w:r w:rsidRPr="00E902C3">
        <w:rPr>
          <w:i/>
          <w:sz w:val="24"/>
          <w:szCs w:val="24"/>
          <w:lang w:val="en-US"/>
        </w:rPr>
        <w:t>hosp_surg</w:t>
      </w:r>
      <w:r>
        <w:rPr>
          <w:sz w:val="24"/>
          <w:szCs w:val="24"/>
          <w:lang w:val="en-US"/>
        </w:rPr>
        <w:t xml:space="preserve"> – factor variable)</w:t>
      </w:r>
    </w:p>
    <w:p w14:paraId="6AB5BE53" w14:textId="77777777" w:rsidR="007A5464" w:rsidRDefault="007A5464" w:rsidP="007A5464">
      <w:pPr>
        <w:pStyle w:val="Listeavsnitt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Geographical location (state) of health institution within Mexico (</w:t>
      </w:r>
      <w:r w:rsidRPr="00E902C3">
        <w:rPr>
          <w:i/>
          <w:sz w:val="24"/>
          <w:szCs w:val="24"/>
          <w:lang w:val="en-US"/>
        </w:rPr>
        <w:t>state_hosp</w:t>
      </w:r>
      <w:r>
        <w:rPr>
          <w:sz w:val="24"/>
          <w:szCs w:val="24"/>
          <w:lang w:val="en-US"/>
        </w:rPr>
        <w:t xml:space="preserve"> – factor variable)</w:t>
      </w:r>
    </w:p>
    <w:p w14:paraId="59536605" w14:textId="77777777" w:rsidR="007A5464" w:rsidRDefault="007A5464" w:rsidP="007A5464">
      <w:pPr>
        <w:pStyle w:val="Listeavsnitt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 preoperative physical measurements on day of admission:</w:t>
      </w:r>
    </w:p>
    <w:p w14:paraId="6F7DAEEC" w14:textId="77777777" w:rsidR="007A5464" w:rsidRDefault="007A5464" w:rsidP="007A5464">
      <w:pPr>
        <w:pStyle w:val="Listeavsnitt"/>
        <w:numPr>
          <w:ilvl w:val="1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Systolic blood pressure (</w:t>
      </w:r>
      <w:r w:rsidRPr="00E902C3">
        <w:rPr>
          <w:i/>
          <w:sz w:val="24"/>
          <w:szCs w:val="24"/>
          <w:lang w:val="en-US"/>
        </w:rPr>
        <w:t>bt_syst</w:t>
      </w:r>
      <w:r>
        <w:rPr>
          <w:sz w:val="24"/>
          <w:szCs w:val="24"/>
          <w:lang w:val="en-US"/>
        </w:rPr>
        <w:t xml:space="preserve"> - integer)</w:t>
      </w:r>
    </w:p>
    <w:p w14:paraId="43AC7D29" w14:textId="77777777" w:rsidR="007A5464" w:rsidRDefault="007A5464" w:rsidP="007A5464">
      <w:pPr>
        <w:pStyle w:val="Listeavsnitt"/>
        <w:numPr>
          <w:ilvl w:val="1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Heart rate (</w:t>
      </w:r>
      <w:r w:rsidRPr="00E902C3">
        <w:rPr>
          <w:i/>
          <w:sz w:val="24"/>
          <w:szCs w:val="24"/>
          <w:lang w:val="en-US"/>
        </w:rPr>
        <w:t>hr</w:t>
      </w:r>
      <w:r>
        <w:rPr>
          <w:sz w:val="24"/>
          <w:szCs w:val="24"/>
          <w:lang w:val="en-US"/>
        </w:rPr>
        <w:t xml:space="preserve"> - integer)</w:t>
      </w:r>
    </w:p>
    <w:p w14:paraId="4B4A5740" w14:textId="77777777" w:rsidR="007A5464" w:rsidRDefault="007A5464" w:rsidP="007A5464">
      <w:pPr>
        <w:pStyle w:val="Listeavsnitt"/>
        <w:numPr>
          <w:ilvl w:val="1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Temperature (</w:t>
      </w:r>
      <w:r w:rsidRPr="00E902C3">
        <w:rPr>
          <w:i/>
          <w:sz w:val="24"/>
          <w:szCs w:val="24"/>
          <w:lang w:val="en-US"/>
        </w:rPr>
        <w:t>temp</w:t>
      </w:r>
      <w:r>
        <w:rPr>
          <w:sz w:val="24"/>
          <w:szCs w:val="24"/>
          <w:lang w:val="en-US"/>
        </w:rPr>
        <w:t xml:space="preserve"> – floating point)</w:t>
      </w:r>
    </w:p>
    <w:p w14:paraId="7E02056B" w14:textId="77777777" w:rsidR="007A5464" w:rsidRDefault="00E43C05" w:rsidP="00E43C05">
      <w:pPr>
        <w:pStyle w:val="Listeavsnitt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Pooled </w:t>
      </w:r>
      <w:r w:rsidR="007A5464">
        <w:rPr>
          <w:sz w:val="24"/>
          <w:szCs w:val="24"/>
          <w:lang w:val="en-US"/>
        </w:rPr>
        <w:t xml:space="preserve">Charlson comorbidity index scores </w:t>
      </w:r>
      <w:r>
        <w:rPr>
          <w:sz w:val="24"/>
          <w:szCs w:val="24"/>
          <w:lang w:val="en-US"/>
        </w:rPr>
        <w:t xml:space="preserve">across all </w:t>
      </w:r>
      <w:r w:rsidR="007A5464">
        <w:rPr>
          <w:sz w:val="24"/>
          <w:szCs w:val="24"/>
          <w:lang w:val="en-US"/>
        </w:rPr>
        <w:t>domains</w:t>
      </w:r>
      <w:r>
        <w:rPr>
          <w:sz w:val="24"/>
          <w:szCs w:val="24"/>
          <w:lang w:val="en-US"/>
        </w:rPr>
        <w:t xml:space="preserve"> (</w:t>
      </w:r>
      <w:r w:rsidRPr="00E902C3">
        <w:rPr>
          <w:i/>
          <w:sz w:val="24"/>
          <w:szCs w:val="24"/>
          <w:lang w:val="en-US"/>
        </w:rPr>
        <w:t>charlson</w:t>
      </w:r>
      <w:r>
        <w:rPr>
          <w:sz w:val="24"/>
          <w:szCs w:val="24"/>
          <w:lang w:val="en-US"/>
        </w:rPr>
        <w:t xml:space="preserve"> – integer)</w:t>
      </w:r>
    </w:p>
    <w:p w14:paraId="2E96CB8A" w14:textId="77777777" w:rsidR="007A5464" w:rsidRDefault="007A5464" w:rsidP="00E43C05">
      <w:pPr>
        <w:pStyle w:val="Listeavsnitt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 of pro</w:t>
      </w:r>
      <w:r w:rsidR="00E43C05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thesis (</w:t>
      </w:r>
      <w:r w:rsidR="00E43C05" w:rsidRPr="00E902C3">
        <w:rPr>
          <w:i/>
          <w:sz w:val="24"/>
          <w:szCs w:val="24"/>
          <w:lang w:val="en-US"/>
        </w:rPr>
        <w:t>prosth_type</w:t>
      </w:r>
      <w:r w:rsidR="00E43C05">
        <w:rPr>
          <w:sz w:val="24"/>
          <w:szCs w:val="24"/>
          <w:lang w:val="en-US"/>
        </w:rPr>
        <w:t xml:space="preserve"> – factor variable</w:t>
      </w:r>
      <w:r>
        <w:rPr>
          <w:sz w:val="24"/>
          <w:szCs w:val="24"/>
          <w:lang w:val="en-US"/>
        </w:rPr>
        <w:t>)</w:t>
      </w:r>
    </w:p>
    <w:p w14:paraId="6A0B35BC" w14:textId="77777777" w:rsidR="007A5464" w:rsidRDefault="007A5464" w:rsidP="007A5464">
      <w:pPr>
        <w:pStyle w:val="Listeavsnitt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of perioperative medical thromboprophylaxis</w:t>
      </w:r>
      <w:r w:rsidR="00E43C05">
        <w:rPr>
          <w:sz w:val="24"/>
          <w:szCs w:val="24"/>
          <w:lang w:val="en-US"/>
        </w:rPr>
        <w:t xml:space="preserve">. Prescription of a 10-day course or longer of a </w:t>
      </w:r>
      <w:r>
        <w:rPr>
          <w:sz w:val="24"/>
          <w:szCs w:val="24"/>
          <w:lang w:val="en-US"/>
        </w:rPr>
        <w:t>specific drug</w:t>
      </w:r>
      <w:r w:rsidR="00E43C05">
        <w:rPr>
          <w:sz w:val="24"/>
          <w:szCs w:val="24"/>
          <w:lang w:val="en-US"/>
        </w:rPr>
        <w:t xml:space="preserve"> will be coded as a dichotomous variable. The following drugs will be assessed:</w:t>
      </w:r>
    </w:p>
    <w:p w14:paraId="4B196DE0" w14:textId="77777777" w:rsidR="00E43C05" w:rsidRDefault="00E43C05" w:rsidP="00E43C05">
      <w:pPr>
        <w:pStyle w:val="Listeavsnitt"/>
        <w:numPr>
          <w:ilvl w:val="1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Aspirin (</w:t>
      </w:r>
      <w:r w:rsidRPr="00E902C3">
        <w:rPr>
          <w:i/>
          <w:sz w:val="24"/>
          <w:szCs w:val="24"/>
          <w:lang w:val="en-US"/>
        </w:rPr>
        <w:t>asa</w:t>
      </w:r>
      <w:r>
        <w:rPr>
          <w:sz w:val="24"/>
          <w:szCs w:val="24"/>
          <w:lang w:val="en-US"/>
        </w:rPr>
        <w:t>)</w:t>
      </w:r>
    </w:p>
    <w:p w14:paraId="2998F887" w14:textId="77777777" w:rsidR="00E43C05" w:rsidRDefault="00E43C05" w:rsidP="00E43C05">
      <w:pPr>
        <w:pStyle w:val="Listeavsnitt"/>
        <w:numPr>
          <w:ilvl w:val="1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Low molecular weight heparin (</w:t>
      </w:r>
      <w:r w:rsidRPr="00E902C3">
        <w:rPr>
          <w:i/>
          <w:sz w:val="24"/>
          <w:szCs w:val="24"/>
          <w:lang w:val="en-US"/>
        </w:rPr>
        <w:t>lmwh</w:t>
      </w:r>
      <w:r>
        <w:rPr>
          <w:sz w:val="24"/>
          <w:szCs w:val="24"/>
          <w:lang w:val="en-US"/>
        </w:rPr>
        <w:t>)</w:t>
      </w:r>
    </w:p>
    <w:p w14:paraId="6C8317D3" w14:textId="77777777" w:rsidR="00E43C05" w:rsidRDefault="00E43C05" w:rsidP="00E43C05">
      <w:pPr>
        <w:pStyle w:val="Listeavsnitt"/>
        <w:numPr>
          <w:ilvl w:val="1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Rivaroxaban (</w:t>
      </w:r>
      <w:r w:rsidRPr="00E902C3">
        <w:rPr>
          <w:i/>
          <w:sz w:val="24"/>
          <w:szCs w:val="24"/>
          <w:lang w:val="en-US"/>
        </w:rPr>
        <w:t>rivarox</w:t>
      </w:r>
      <w:r>
        <w:rPr>
          <w:sz w:val="24"/>
          <w:szCs w:val="24"/>
          <w:lang w:val="en-US"/>
        </w:rPr>
        <w:t>)</w:t>
      </w:r>
    </w:p>
    <w:p w14:paraId="7C35F01C" w14:textId="77777777" w:rsidR="00E43C05" w:rsidRDefault="00E43C05" w:rsidP="00E43C05">
      <w:pPr>
        <w:pStyle w:val="Listeavsnitt"/>
        <w:numPr>
          <w:ilvl w:val="1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Apixaban (</w:t>
      </w:r>
      <w:r w:rsidRPr="00E902C3">
        <w:rPr>
          <w:i/>
          <w:sz w:val="24"/>
          <w:szCs w:val="24"/>
          <w:lang w:val="en-US"/>
        </w:rPr>
        <w:t>apix</w:t>
      </w:r>
      <w:r>
        <w:rPr>
          <w:sz w:val="24"/>
          <w:szCs w:val="24"/>
          <w:lang w:val="en-US"/>
        </w:rPr>
        <w:t>)</w:t>
      </w:r>
    </w:p>
    <w:p w14:paraId="3C49691E" w14:textId="77777777" w:rsidR="00E43C05" w:rsidRDefault="00E43C05" w:rsidP="00E43C05">
      <w:pPr>
        <w:pStyle w:val="Listeavsnitt"/>
        <w:numPr>
          <w:ilvl w:val="1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Dabigatran (</w:t>
      </w:r>
      <w:r w:rsidRPr="00E902C3">
        <w:rPr>
          <w:i/>
          <w:sz w:val="24"/>
          <w:szCs w:val="24"/>
          <w:lang w:val="en-US"/>
        </w:rPr>
        <w:t>dabig</w:t>
      </w:r>
      <w:r>
        <w:rPr>
          <w:sz w:val="24"/>
          <w:szCs w:val="24"/>
          <w:lang w:val="en-US"/>
        </w:rPr>
        <w:t>)</w:t>
      </w:r>
    </w:p>
    <w:p w14:paraId="675282FB" w14:textId="77777777" w:rsidR="00E43C05" w:rsidRDefault="00E43C05" w:rsidP="00E43C05">
      <w:pPr>
        <w:pStyle w:val="Listeavsnitt"/>
        <w:numPr>
          <w:ilvl w:val="1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Edoxaban (</w:t>
      </w:r>
      <w:r w:rsidRPr="00E902C3">
        <w:rPr>
          <w:i/>
          <w:sz w:val="24"/>
          <w:szCs w:val="24"/>
          <w:lang w:val="en-US"/>
        </w:rPr>
        <w:t>edox</w:t>
      </w:r>
      <w:r>
        <w:rPr>
          <w:sz w:val="24"/>
          <w:szCs w:val="24"/>
          <w:lang w:val="en-US"/>
        </w:rPr>
        <w:t>)</w:t>
      </w:r>
    </w:p>
    <w:p w14:paraId="6377C447" w14:textId="77777777" w:rsidR="007A5464" w:rsidRDefault="007A5464" w:rsidP="00E43C05">
      <w:pPr>
        <w:pStyle w:val="Listeavsnitt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of perioperative mechanical thromboprophylaxis </w:t>
      </w:r>
      <w:r w:rsidR="00E902C3">
        <w:rPr>
          <w:sz w:val="24"/>
          <w:szCs w:val="24"/>
          <w:lang w:val="en-US"/>
        </w:rPr>
        <w:t>(</w:t>
      </w:r>
      <w:r w:rsidR="00E902C3" w:rsidRPr="00E902C3">
        <w:rPr>
          <w:i/>
          <w:sz w:val="24"/>
          <w:szCs w:val="24"/>
          <w:lang w:val="en-US"/>
        </w:rPr>
        <w:t>mech_pro</w:t>
      </w:r>
      <w:r w:rsidR="00610D63">
        <w:rPr>
          <w:i/>
          <w:sz w:val="24"/>
          <w:szCs w:val="24"/>
          <w:lang w:val="en-US"/>
        </w:rPr>
        <w:t>ph</w:t>
      </w:r>
      <w:r w:rsidR="00E902C3" w:rsidRPr="00E902C3">
        <w:rPr>
          <w:i/>
          <w:sz w:val="24"/>
          <w:szCs w:val="24"/>
          <w:lang w:val="en-US"/>
        </w:rPr>
        <w:t>yl</w:t>
      </w:r>
      <w:r w:rsidR="00E902C3">
        <w:rPr>
          <w:sz w:val="24"/>
          <w:szCs w:val="24"/>
          <w:lang w:val="en-US"/>
        </w:rPr>
        <w:t xml:space="preserve"> – </w:t>
      </w:r>
      <w:r w:rsidR="00E43C05">
        <w:rPr>
          <w:sz w:val="24"/>
          <w:szCs w:val="24"/>
          <w:lang w:val="en-US"/>
        </w:rPr>
        <w:t>dichotomous</w:t>
      </w:r>
      <w:r w:rsidR="00E902C3">
        <w:rPr>
          <w:sz w:val="24"/>
          <w:szCs w:val="24"/>
          <w:lang w:val="en-US"/>
        </w:rPr>
        <w:t>)</w:t>
      </w:r>
    </w:p>
    <w:p w14:paraId="04B1C39E" w14:textId="77777777" w:rsidR="007A5464" w:rsidRDefault="007A5464" w:rsidP="007A5464">
      <w:pPr>
        <w:pStyle w:val="Listeavsnitt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of perioperative antibiotic prophylaxis – </w:t>
      </w:r>
      <w:r w:rsidR="00E902C3">
        <w:rPr>
          <w:sz w:val="24"/>
          <w:szCs w:val="24"/>
          <w:lang w:val="en-US"/>
        </w:rPr>
        <w:t>(</w:t>
      </w:r>
      <w:r w:rsidR="00E902C3" w:rsidRPr="00E902C3">
        <w:rPr>
          <w:i/>
          <w:sz w:val="24"/>
          <w:szCs w:val="24"/>
          <w:lang w:val="en-US"/>
        </w:rPr>
        <w:t>antib_pro</w:t>
      </w:r>
      <w:r w:rsidR="00610D63">
        <w:rPr>
          <w:i/>
          <w:sz w:val="24"/>
          <w:szCs w:val="24"/>
          <w:lang w:val="en-US"/>
        </w:rPr>
        <w:t>ph</w:t>
      </w:r>
      <w:r w:rsidR="00E902C3" w:rsidRPr="00E902C3">
        <w:rPr>
          <w:i/>
          <w:sz w:val="24"/>
          <w:szCs w:val="24"/>
          <w:lang w:val="en-US"/>
        </w:rPr>
        <w:t>yl</w:t>
      </w:r>
      <w:r w:rsidR="00E902C3">
        <w:rPr>
          <w:sz w:val="24"/>
          <w:szCs w:val="24"/>
          <w:lang w:val="en-US"/>
        </w:rPr>
        <w:t xml:space="preserve"> – dichotomous)</w:t>
      </w:r>
    </w:p>
    <w:p w14:paraId="32AA467D" w14:textId="77777777" w:rsidR="007A5464" w:rsidRDefault="007A5464" w:rsidP="007A5464">
      <w:pPr>
        <w:pStyle w:val="Listeavsnitt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Duration of surgery</w:t>
      </w:r>
      <w:r w:rsidR="00E43C05">
        <w:rPr>
          <w:sz w:val="24"/>
          <w:szCs w:val="24"/>
          <w:lang w:val="en-US"/>
        </w:rPr>
        <w:t xml:space="preserve"> in minutes (</w:t>
      </w:r>
      <w:r w:rsidR="00E902C3" w:rsidRPr="00E902C3">
        <w:rPr>
          <w:i/>
          <w:sz w:val="24"/>
          <w:szCs w:val="24"/>
          <w:lang w:val="en-US"/>
        </w:rPr>
        <w:t>dur_surg</w:t>
      </w:r>
      <w:r w:rsidR="00E902C3">
        <w:rPr>
          <w:sz w:val="24"/>
          <w:szCs w:val="24"/>
          <w:lang w:val="en-US"/>
        </w:rPr>
        <w:t xml:space="preserve"> - </w:t>
      </w:r>
      <w:r w:rsidR="00E43C05">
        <w:rPr>
          <w:sz w:val="24"/>
          <w:szCs w:val="24"/>
          <w:lang w:val="en-US"/>
        </w:rPr>
        <w:t>integer)</w:t>
      </w:r>
    </w:p>
    <w:p w14:paraId="495EE4D4" w14:textId="77777777" w:rsidR="007A5464" w:rsidRDefault="007A5464" w:rsidP="007A5464">
      <w:pPr>
        <w:pStyle w:val="Listeavsnitt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Patient mobilization status on first postoperative day</w:t>
      </w:r>
      <w:r w:rsidR="00E43C05">
        <w:rPr>
          <w:sz w:val="24"/>
          <w:szCs w:val="24"/>
          <w:lang w:val="en-US"/>
        </w:rPr>
        <w:t xml:space="preserve"> (</w:t>
      </w:r>
      <w:r w:rsidR="00E43C05" w:rsidRPr="00E902C3">
        <w:rPr>
          <w:i/>
          <w:sz w:val="24"/>
          <w:szCs w:val="24"/>
          <w:lang w:val="en-US"/>
        </w:rPr>
        <w:t>mobil_day_1</w:t>
      </w:r>
      <w:r w:rsidR="00E43C05">
        <w:rPr>
          <w:sz w:val="24"/>
          <w:szCs w:val="24"/>
          <w:lang w:val="en-US"/>
        </w:rPr>
        <w:t xml:space="preserve"> – dichotomous - </w:t>
      </w:r>
      <w:r w:rsidR="00E902C3">
        <w:rPr>
          <w:sz w:val="24"/>
          <w:szCs w:val="24"/>
          <w:lang w:val="en-US"/>
        </w:rPr>
        <w:t>mobilized: yes</w:t>
      </w:r>
      <w:r w:rsidR="00E43C05">
        <w:rPr>
          <w:sz w:val="24"/>
          <w:szCs w:val="24"/>
          <w:lang w:val="en-US"/>
        </w:rPr>
        <w:t>/no)</w:t>
      </w:r>
    </w:p>
    <w:p w14:paraId="587D746D" w14:textId="77777777" w:rsidR="007A5464" w:rsidRDefault="007A5464" w:rsidP="007A5464">
      <w:pPr>
        <w:pStyle w:val="Listeavsnitt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 w:rsidRPr="00E43C05">
        <w:rPr>
          <w:sz w:val="24"/>
          <w:szCs w:val="24"/>
          <w:lang w:val="en-US"/>
        </w:rPr>
        <w:t>Smoking status</w:t>
      </w:r>
      <w:r w:rsidR="00E43C05">
        <w:rPr>
          <w:sz w:val="24"/>
          <w:szCs w:val="24"/>
          <w:lang w:val="en-US"/>
        </w:rPr>
        <w:t xml:space="preserve"> (</w:t>
      </w:r>
      <w:r w:rsidR="00E902C3" w:rsidRPr="00E902C3">
        <w:rPr>
          <w:i/>
          <w:sz w:val="24"/>
          <w:szCs w:val="24"/>
          <w:lang w:val="en-US"/>
        </w:rPr>
        <w:t>smoker</w:t>
      </w:r>
      <w:r w:rsidR="00E902C3">
        <w:rPr>
          <w:sz w:val="24"/>
          <w:szCs w:val="24"/>
          <w:lang w:val="en-US"/>
        </w:rPr>
        <w:t xml:space="preserve"> - </w:t>
      </w:r>
      <w:r w:rsidR="00E43C05">
        <w:rPr>
          <w:sz w:val="24"/>
          <w:szCs w:val="24"/>
          <w:lang w:val="en-US"/>
        </w:rPr>
        <w:t>dichotomous)</w:t>
      </w:r>
    </w:p>
    <w:p w14:paraId="5FE86A83" w14:textId="77777777" w:rsidR="00E902C3" w:rsidRPr="002C6611" w:rsidRDefault="00E902C3" w:rsidP="00E902C3">
      <w:pPr>
        <w:spacing w:line="360" w:lineRule="auto"/>
        <w:rPr>
          <w:b/>
          <w:sz w:val="24"/>
          <w:szCs w:val="24"/>
          <w:lang w:val="en-US"/>
        </w:rPr>
      </w:pPr>
      <w:r w:rsidRPr="002C6611">
        <w:rPr>
          <w:b/>
          <w:sz w:val="24"/>
          <w:szCs w:val="24"/>
          <w:lang w:val="en-US"/>
        </w:rPr>
        <w:t>Statistical procedures</w:t>
      </w:r>
    </w:p>
    <w:p w14:paraId="724B1986" w14:textId="77777777" w:rsidR="00610D63" w:rsidRDefault="00195B52" w:rsidP="00E902C3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obtaining a crude estimate of the 90-day cumulative incidence, we will compute proportions of patients within </w:t>
      </w:r>
      <w:r w:rsidR="00610D63">
        <w:rPr>
          <w:sz w:val="24"/>
          <w:szCs w:val="24"/>
          <w:lang w:val="en-US"/>
        </w:rPr>
        <w:t>each surgical population (hip, knee, shoulder, ankle) having developed a PJI by the 90</w:t>
      </w:r>
      <w:r w:rsidR="00610D63" w:rsidRPr="00610D63">
        <w:rPr>
          <w:sz w:val="24"/>
          <w:szCs w:val="24"/>
          <w:vertAlign w:val="superscript"/>
          <w:lang w:val="en-US"/>
        </w:rPr>
        <w:t>th</w:t>
      </w:r>
      <w:r w:rsidR="00610D63">
        <w:rPr>
          <w:sz w:val="24"/>
          <w:szCs w:val="24"/>
          <w:lang w:val="en-US"/>
        </w:rPr>
        <w:t xml:space="preserve"> postoperative day, with Agresti-Coult confidence intervals. </w:t>
      </w:r>
    </w:p>
    <w:p w14:paraId="461F2623" w14:textId="3F417640" w:rsidR="00E902C3" w:rsidRPr="0008227A" w:rsidRDefault="00610D63" w:rsidP="00E902C3">
      <w:pPr>
        <w:spacing w:line="360" w:lineRule="auto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will compute odds ratios (ORs) for developing PJI with each antithrombotic drug by</w:t>
      </w:r>
      <w:r w:rsidR="00E902C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fitting </w:t>
      </w:r>
      <w:r w:rsidR="00E902C3">
        <w:rPr>
          <w:sz w:val="24"/>
          <w:szCs w:val="24"/>
          <w:lang w:val="en-US"/>
        </w:rPr>
        <w:t xml:space="preserve">a </w:t>
      </w:r>
      <w:r w:rsidR="002C6611">
        <w:rPr>
          <w:sz w:val="24"/>
          <w:szCs w:val="24"/>
          <w:lang w:val="en-US"/>
        </w:rPr>
        <w:t>mixed</w:t>
      </w:r>
      <w:r w:rsidR="00E902C3">
        <w:rPr>
          <w:sz w:val="24"/>
          <w:szCs w:val="24"/>
          <w:lang w:val="en-US"/>
        </w:rPr>
        <w:t>-effects logistic regression model</w:t>
      </w:r>
      <w:r>
        <w:rPr>
          <w:sz w:val="24"/>
          <w:szCs w:val="24"/>
          <w:lang w:val="en-US"/>
        </w:rPr>
        <w:t xml:space="preserve">. We will use a nested random effects model </w:t>
      </w:r>
      <w:r>
        <w:rPr>
          <w:sz w:val="24"/>
          <w:szCs w:val="24"/>
          <w:lang w:val="en-US"/>
        </w:rPr>
        <w:lastRenderedPageBreak/>
        <w:t xml:space="preserve">with a random intercept for </w:t>
      </w:r>
      <w:r w:rsidRPr="00610D63">
        <w:rPr>
          <w:i/>
          <w:sz w:val="24"/>
          <w:szCs w:val="24"/>
          <w:lang w:val="en-US"/>
        </w:rPr>
        <w:t>hosp_surg</w:t>
      </w:r>
      <w:r>
        <w:rPr>
          <w:sz w:val="24"/>
          <w:szCs w:val="24"/>
          <w:lang w:val="en-US"/>
        </w:rPr>
        <w:t xml:space="preserve">, nested within </w:t>
      </w:r>
      <w:r w:rsidRPr="00610D63">
        <w:rPr>
          <w:i/>
          <w:sz w:val="24"/>
          <w:szCs w:val="24"/>
          <w:lang w:val="en-US"/>
        </w:rPr>
        <w:t>state_hosp</w:t>
      </w:r>
      <w:r>
        <w:rPr>
          <w:sz w:val="24"/>
          <w:szCs w:val="24"/>
          <w:lang w:val="en-US"/>
        </w:rPr>
        <w:t xml:space="preserve">. We will also fit a random intercept for </w:t>
      </w:r>
      <w:r w:rsidRPr="00610D63">
        <w:rPr>
          <w:i/>
          <w:sz w:val="24"/>
          <w:szCs w:val="24"/>
          <w:lang w:val="en-US"/>
        </w:rPr>
        <w:t>state_hosp</w:t>
      </w:r>
      <w:r>
        <w:rPr>
          <w:sz w:val="24"/>
          <w:szCs w:val="24"/>
          <w:lang w:val="en-US"/>
        </w:rPr>
        <w:t>. We will fit the following maximal model:</w:t>
      </w:r>
      <w:r>
        <w:rPr>
          <w:sz w:val="24"/>
          <w:szCs w:val="24"/>
          <w:lang w:val="en-US"/>
        </w:rPr>
        <w:br/>
      </w: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logit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pros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t_inf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asa 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ij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lmwh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ij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rivarox 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ij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apix 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ij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dabig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ij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edox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ij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age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ij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gender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ij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charlson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ij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×du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r_surg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ij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×mec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h_prophyl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ij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×anti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b_prophyl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ij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×mobi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l_day_1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ij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smoker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ij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×b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t_syst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ij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ij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17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×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temp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ij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ij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</m:oMath>
      </m:oMathPara>
    </w:p>
    <w:p w14:paraId="5906EDC5" w14:textId="0B6F6B82" w:rsidR="0008227A" w:rsidRPr="00574CCF" w:rsidRDefault="0008227A" w:rsidP="00E902C3">
      <w:pPr>
        <w:spacing w:line="360" w:lineRule="auto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i</m:t>
        </m:r>
      </m:oMath>
      <w:r>
        <w:rPr>
          <w:rFonts w:eastAsiaTheme="minorEastAsia"/>
          <w:sz w:val="24"/>
          <w:szCs w:val="24"/>
          <w:lang w:val="en-US"/>
        </w:rPr>
        <w:t xml:space="preserve"> represents the index of the geographical area (</w:t>
      </w:r>
      <w:r w:rsidRPr="0008227A">
        <w:rPr>
          <w:rFonts w:eastAsiaTheme="minorEastAsia"/>
          <w:i/>
          <w:sz w:val="24"/>
          <w:szCs w:val="24"/>
          <w:lang w:val="en-US"/>
        </w:rPr>
        <w:t>state_hosp</w:t>
      </w:r>
      <w:r>
        <w:rPr>
          <w:rFonts w:eastAsiaTheme="minorEastAsia"/>
          <w:sz w:val="24"/>
          <w:szCs w:val="24"/>
          <w:lang w:val="en-US"/>
        </w:rPr>
        <w:t xml:space="preserve">),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j</m:t>
        </m:r>
      </m:oMath>
      <w:r>
        <w:rPr>
          <w:rFonts w:eastAsiaTheme="minorEastAsia"/>
          <w:sz w:val="24"/>
          <w:szCs w:val="24"/>
          <w:lang w:val="en-US"/>
        </w:rPr>
        <w:t xml:space="preserve"> the index of the hospital within the geographical area (</w:t>
      </w:r>
      <w:r w:rsidRPr="0008227A">
        <w:rPr>
          <w:rFonts w:eastAsiaTheme="minorEastAsia"/>
          <w:i/>
          <w:sz w:val="24"/>
          <w:szCs w:val="24"/>
          <w:lang w:val="en-US"/>
        </w:rPr>
        <w:t>hosp_surg</w:t>
      </w:r>
      <w:r>
        <w:rPr>
          <w:rFonts w:eastAsiaTheme="minorEastAsia"/>
          <w:sz w:val="24"/>
          <w:szCs w:val="24"/>
          <w:lang w:val="en-US"/>
        </w:rPr>
        <w:t xml:space="preserve">), and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k</m:t>
        </m:r>
      </m:oMath>
      <w:r>
        <w:rPr>
          <w:rFonts w:eastAsiaTheme="minorEastAsia"/>
          <w:sz w:val="24"/>
          <w:szCs w:val="24"/>
          <w:lang w:val="en-US"/>
        </w:rPr>
        <w:t xml:space="preserve"> the index of the observation within the hospital.</w:t>
      </w:r>
    </w:p>
    <w:p w14:paraId="3406DB51" w14:textId="77777777" w:rsidR="00574CCF" w:rsidRDefault="00574CCF" w:rsidP="00E902C3">
      <w:pPr>
        <w:spacing w:line="360" w:lineRule="auto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We will assess model fit with Q-Q plots and residual plots. We will attempt model reduction by successively removing variables </w:t>
      </w:r>
      <w:r w:rsidRPr="0008227A">
        <w:rPr>
          <w:rFonts w:eastAsiaTheme="minorEastAsia"/>
          <w:i/>
          <w:sz w:val="24"/>
          <w:szCs w:val="24"/>
          <w:lang w:val="en-US"/>
        </w:rPr>
        <w:t>bt_syst</w:t>
      </w:r>
      <w:r>
        <w:rPr>
          <w:rFonts w:eastAsiaTheme="minorEastAsia"/>
          <w:sz w:val="24"/>
          <w:szCs w:val="24"/>
          <w:lang w:val="en-US"/>
        </w:rPr>
        <w:t xml:space="preserve">, </w:t>
      </w:r>
      <w:r w:rsidRPr="0008227A">
        <w:rPr>
          <w:rFonts w:eastAsiaTheme="minorEastAsia"/>
          <w:i/>
          <w:sz w:val="24"/>
          <w:szCs w:val="24"/>
          <w:lang w:val="en-US"/>
        </w:rPr>
        <w:t>hr</w:t>
      </w:r>
      <w:r>
        <w:rPr>
          <w:rFonts w:eastAsiaTheme="minorEastAsia"/>
          <w:sz w:val="24"/>
          <w:szCs w:val="24"/>
          <w:lang w:val="en-US"/>
        </w:rPr>
        <w:t xml:space="preserve">, </w:t>
      </w:r>
      <w:r w:rsidRPr="0008227A">
        <w:rPr>
          <w:rFonts w:eastAsiaTheme="minorEastAsia"/>
          <w:i/>
          <w:sz w:val="24"/>
          <w:szCs w:val="24"/>
          <w:lang w:val="en-US"/>
        </w:rPr>
        <w:t>temp</w:t>
      </w:r>
      <w:r>
        <w:rPr>
          <w:rFonts w:eastAsiaTheme="minorEastAsia"/>
          <w:sz w:val="24"/>
          <w:szCs w:val="24"/>
          <w:lang w:val="en-US"/>
        </w:rPr>
        <w:t xml:space="preserve">, </w:t>
      </w:r>
      <w:r w:rsidRPr="0008227A">
        <w:rPr>
          <w:rFonts w:eastAsiaTheme="minorEastAsia"/>
          <w:i/>
          <w:sz w:val="24"/>
          <w:szCs w:val="24"/>
          <w:lang w:val="en-US"/>
        </w:rPr>
        <w:t>mobil_day_1</w:t>
      </w:r>
      <w:r>
        <w:rPr>
          <w:rFonts w:eastAsiaTheme="minorEastAsia"/>
          <w:sz w:val="24"/>
          <w:szCs w:val="24"/>
          <w:lang w:val="en-US"/>
        </w:rPr>
        <w:t xml:space="preserve"> and assess </w:t>
      </w:r>
      <w:r w:rsidR="002C6611">
        <w:rPr>
          <w:rFonts w:eastAsiaTheme="minorEastAsia"/>
          <w:sz w:val="24"/>
          <w:szCs w:val="24"/>
          <w:lang w:val="en-US"/>
        </w:rPr>
        <w:t xml:space="preserve">the reduced </w:t>
      </w:r>
      <w:r>
        <w:rPr>
          <w:rFonts w:eastAsiaTheme="minorEastAsia"/>
          <w:sz w:val="24"/>
          <w:szCs w:val="24"/>
          <w:lang w:val="en-US"/>
        </w:rPr>
        <w:t>model</w:t>
      </w:r>
      <w:r w:rsidR="002C6611">
        <w:rPr>
          <w:rFonts w:eastAsiaTheme="minorEastAsia"/>
          <w:sz w:val="24"/>
          <w:szCs w:val="24"/>
          <w:lang w:val="en-US"/>
        </w:rPr>
        <w:t>s</w:t>
      </w:r>
      <w:r>
        <w:rPr>
          <w:rFonts w:eastAsiaTheme="minorEastAsia"/>
          <w:sz w:val="24"/>
          <w:szCs w:val="24"/>
          <w:lang w:val="en-US"/>
        </w:rPr>
        <w:t xml:space="preserve"> using Akaike’s Information Criterion (AIC). A more parsimonious model providing a good fit will be preferred.  For </w:t>
      </w:r>
      <w:r w:rsidR="002C6611">
        <w:rPr>
          <w:rFonts w:eastAsiaTheme="minorEastAsia"/>
          <w:sz w:val="24"/>
          <w:szCs w:val="24"/>
          <w:lang w:val="en-US"/>
        </w:rPr>
        <w:t xml:space="preserve">testing the hypothesis that ORs of PJI are different </w:t>
      </w:r>
      <w:r>
        <w:rPr>
          <w:rFonts w:eastAsiaTheme="minorEastAsia"/>
          <w:sz w:val="24"/>
          <w:szCs w:val="24"/>
          <w:lang w:val="en-US"/>
        </w:rPr>
        <w:t xml:space="preserve">between exposure groups, we will perform a </w:t>
      </w:r>
      <w:r w:rsidR="002C6611">
        <w:rPr>
          <w:rFonts w:eastAsiaTheme="minorEastAsia"/>
          <w:sz w:val="24"/>
          <w:szCs w:val="24"/>
          <w:lang w:val="en-US"/>
        </w:rPr>
        <w:t>Tukey post-hoc test with a Bonferroni-Holm correction.</w:t>
      </w:r>
    </w:p>
    <w:p w14:paraId="06187AA9" w14:textId="77777777" w:rsidR="002C6611" w:rsidRPr="002C6611" w:rsidRDefault="002C6611" w:rsidP="00E902C3">
      <w:pPr>
        <w:spacing w:line="360" w:lineRule="auto"/>
        <w:rPr>
          <w:rFonts w:eastAsiaTheme="minorEastAsia"/>
          <w:b/>
          <w:sz w:val="24"/>
          <w:szCs w:val="24"/>
          <w:lang w:val="en-US"/>
        </w:rPr>
      </w:pPr>
      <w:r w:rsidRPr="002C6611">
        <w:rPr>
          <w:rFonts w:eastAsiaTheme="minorEastAsia"/>
          <w:b/>
          <w:sz w:val="24"/>
          <w:szCs w:val="24"/>
          <w:lang w:val="en-US"/>
        </w:rPr>
        <w:t>Software</w:t>
      </w:r>
    </w:p>
    <w:p w14:paraId="74265CC4" w14:textId="5ED8A017" w:rsidR="004B463A" w:rsidRDefault="002C6611" w:rsidP="00E902C3">
      <w:pPr>
        <w:spacing w:line="360" w:lineRule="auto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All analyses will be performed in R version 3.4.3</w:t>
      </w:r>
      <w:r w:rsidR="004C2858">
        <w:rPr>
          <w:rFonts w:eastAsiaTheme="minorEastAsia"/>
          <w:sz w:val="24"/>
          <w:szCs w:val="24"/>
          <w:lang w:val="en-US"/>
        </w:rPr>
        <w:fldChar w:fldCharType="begin"/>
      </w:r>
      <w:r w:rsidR="00B73359">
        <w:rPr>
          <w:rFonts w:eastAsiaTheme="minorEastAsia"/>
          <w:sz w:val="24"/>
          <w:szCs w:val="24"/>
          <w:lang w:val="en-US"/>
        </w:rPr>
        <w:instrText xml:space="preserve"> ADDIN EN.CITE &lt;EndNote&gt;&lt;Cite&gt;&lt;Author&gt;R Core Team&lt;/Author&gt;&lt;Year&gt;2017&lt;/Year&gt;&lt;RecNum&gt;17&lt;/RecNum&gt;&lt;DisplayText&gt;&lt;style face="superscript"&gt;1&lt;/style&gt;&lt;/DisplayText&gt;&lt;record&gt;&lt;rec-number&gt;17&lt;/rec-number&gt;&lt;foreign-keys&gt;&lt;key app="EN" db-id="900tt002229eeqefpv6xptw8wvdw99s90wt5" timestamp="1526376022"&gt;17&lt;/key&gt;&lt;/foreign-keys&gt;&lt;ref-type name="Computer Program"&gt;9&lt;/ref-type&gt;&lt;contributors&gt;&lt;authors&gt;&lt;author&gt;R Core Team,&lt;/author&gt;&lt;/authors&gt;&lt;/contributors&gt;&lt;titles&gt;&lt;title&gt;R: A language and environment for statistical computing&lt;/title&gt;&lt;/titles&gt;&lt;dates&gt;&lt;year&gt;2017&lt;/year&gt;&lt;/dates&gt;&lt;pub-location&gt;Vienna&lt;/pub-location&gt;&lt;publisher&gt;R Foundation for Statistical Computing&lt;/publisher&gt;&lt;urls&gt;&lt;related-urls&gt;&lt;url&gt;https://www.R-project.org/&lt;/url&gt;&lt;/related-urls&gt;&lt;/urls&gt;&lt;/record&gt;&lt;/Cite&gt;&lt;/EndNote&gt;</w:instrText>
      </w:r>
      <w:r w:rsidR="004C2858">
        <w:rPr>
          <w:rFonts w:eastAsiaTheme="minorEastAsia"/>
          <w:sz w:val="24"/>
          <w:szCs w:val="24"/>
          <w:lang w:val="en-US"/>
        </w:rPr>
        <w:fldChar w:fldCharType="separate"/>
      </w:r>
      <w:r w:rsidR="00B73359" w:rsidRPr="00B73359">
        <w:rPr>
          <w:rFonts w:eastAsiaTheme="minorEastAsia"/>
          <w:noProof/>
          <w:sz w:val="24"/>
          <w:szCs w:val="24"/>
          <w:vertAlign w:val="superscript"/>
          <w:lang w:val="en-US"/>
        </w:rPr>
        <w:t>1</w:t>
      </w:r>
      <w:r w:rsidR="004C2858">
        <w:rPr>
          <w:rFonts w:eastAsiaTheme="minorEastAsia"/>
          <w:sz w:val="24"/>
          <w:szCs w:val="24"/>
          <w:lang w:val="en-US"/>
        </w:rPr>
        <w:fldChar w:fldCharType="end"/>
      </w:r>
      <w:r>
        <w:rPr>
          <w:rFonts w:eastAsiaTheme="minorEastAsia"/>
          <w:sz w:val="24"/>
          <w:szCs w:val="24"/>
          <w:lang w:val="en-US"/>
        </w:rPr>
        <w:t xml:space="preserve">. For the mixed-effects analysis, we will use the </w:t>
      </w:r>
      <w:r w:rsidRPr="006821C1">
        <w:rPr>
          <w:rFonts w:ascii="Courier New" w:eastAsiaTheme="minorEastAsia" w:hAnsi="Courier New" w:cs="Courier New"/>
          <w:sz w:val="24"/>
          <w:szCs w:val="24"/>
          <w:lang w:val="en-US"/>
        </w:rPr>
        <w:t>lmer</w:t>
      </w:r>
      <w:r>
        <w:rPr>
          <w:rFonts w:eastAsiaTheme="minorEastAsia"/>
          <w:sz w:val="24"/>
          <w:szCs w:val="24"/>
          <w:lang w:val="en-US"/>
        </w:rPr>
        <w:t xml:space="preserve"> and </w:t>
      </w:r>
      <w:r w:rsidRPr="006821C1">
        <w:rPr>
          <w:rFonts w:ascii="Courier New" w:eastAsiaTheme="minorEastAsia" w:hAnsi="Courier New" w:cs="Courier New"/>
          <w:sz w:val="24"/>
          <w:szCs w:val="24"/>
          <w:lang w:val="en-US"/>
        </w:rPr>
        <w:t>AIC</w:t>
      </w:r>
      <w:r>
        <w:rPr>
          <w:rFonts w:eastAsiaTheme="minorEastAsia"/>
          <w:sz w:val="24"/>
          <w:szCs w:val="24"/>
          <w:lang w:val="en-US"/>
        </w:rPr>
        <w:t xml:space="preserve"> functions from the </w:t>
      </w:r>
      <w:r w:rsidRPr="006821C1">
        <w:rPr>
          <w:rFonts w:ascii="Courier New" w:eastAsiaTheme="minorEastAsia" w:hAnsi="Courier New" w:cs="Courier New"/>
          <w:sz w:val="24"/>
          <w:szCs w:val="24"/>
          <w:lang w:val="en-US"/>
        </w:rPr>
        <w:t>lme4</w:t>
      </w:r>
      <w:r>
        <w:rPr>
          <w:rFonts w:eastAsiaTheme="minorEastAsia"/>
          <w:sz w:val="24"/>
          <w:szCs w:val="24"/>
          <w:lang w:val="en-US"/>
        </w:rPr>
        <w:t xml:space="preserve"> package</w:t>
      </w:r>
      <w:r w:rsidR="007C1C6B">
        <w:rPr>
          <w:rFonts w:eastAsiaTheme="minorEastAsia"/>
          <w:sz w:val="24"/>
          <w:szCs w:val="24"/>
          <w:lang w:val="en-US"/>
        </w:rPr>
        <w:fldChar w:fldCharType="begin"/>
      </w:r>
      <w:r w:rsidR="00B73359">
        <w:rPr>
          <w:rFonts w:eastAsiaTheme="minorEastAsia"/>
          <w:sz w:val="24"/>
          <w:szCs w:val="24"/>
          <w:lang w:val="en-US"/>
        </w:rPr>
        <w:instrText xml:space="preserve"> ADDIN EN.CITE &lt;EndNote&gt;&lt;Cite&gt;&lt;Author&gt;Bates&lt;/Author&gt;&lt;Year&gt;2015&lt;/Year&gt;&lt;RecNum&gt;14&lt;/RecNum&gt;&lt;DisplayText&gt;&lt;style face="superscript"&gt;2&lt;/style&gt;&lt;/DisplayText&gt;&lt;record&gt;&lt;rec-number&gt;14&lt;/rec-number&gt;&lt;foreign-keys&gt;&lt;key app="EN" db-id="900tt002229eeqefpv6xptw8wvdw99s90wt5" timestamp="1526375541"&gt;14&lt;/key&gt;&lt;/foreign-keys&gt;&lt;ref-type name="Journal Article"&gt;17&lt;/ref-type&gt;&lt;contributors&gt;&lt;authors&gt;&lt;author&gt;Bates, Douglas&lt;/author&gt;&lt;author&gt;Mächler, Martin&lt;/author&gt;&lt;author&gt;Bolker, Ben&lt;/author&gt;&lt;author&gt;Walker, Steve&lt;/author&gt;&lt;/authors&gt;&lt;/contributors&gt;&lt;titles&gt;&lt;title&gt;Fitting Linear Mixed-Effects Models Using lme4&lt;/title&gt;&lt;secondary-title&gt;Journal of Statistical Software&lt;/secondary-title&gt;&lt;/titles&gt;&lt;periodical&gt;&lt;full-title&gt;Journal of Statistical Software&lt;/full-title&gt;&lt;/periodical&gt;&lt;pages&gt;1-48&lt;/pages&gt;&lt;volume&gt;67&lt;/volume&gt;&lt;number&gt;1&lt;/number&gt;&lt;dates&gt;&lt;year&gt;2015&lt;/year&gt;&lt;/dates&gt;&lt;urls&gt;&lt;/urls&gt;&lt;electronic-resource-num&gt;10.18637/jss.v067.i01&lt;/electronic-resource-num&gt;&lt;/record&gt;&lt;/Cite&gt;&lt;/EndNote&gt;</w:instrText>
      </w:r>
      <w:r w:rsidR="007C1C6B">
        <w:rPr>
          <w:rFonts w:eastAsiaTheme="minorEastAsia"/>
          <w:sz w:val="24"/>
          <w:szCs w:val="24"/>
          <w:lang w:val="en-US"/>
        </w:rPr>
        <w:fldChar w:fldCharType="separate"/>
      </w:r>
      <w:r w:rsidR="00B73359" w:rsidRPr="00B73359">
        <w:rPr>
          <w:rFonts w:eastAsiaTheme="minorEastAsia"/>
          <w:noProof/>
          <w:sz w:val="24"/>
          <w:szCs w:val="24"/>
          <w:vertAlign w:val="superscript"/>
          <w:lang w:val="en-US"/>
        </w:rPr>
        <w:t>2</w:t>
      </w:r>
      <w:r w:rsidR="007C1C6B">
        <w:rPr>
          <w:rFonts w:eastAsiaTheme="minorEastAsia"/>
          <w:sz w:val="24"/>
          <w:szCs w:val="24"/>
          <w:lang w:val="en-US"/>
        </w:rPr>
        <w:fldChar w:fldCharType="end"/>
      </w:r>
      <w:r w:rsidR="00A42E10">
        <w:rPr>
          <w:rFonts w:eastAsiaTheme="minorEastAsia"/>
          <w:sz w:val="24"/>
          <w:szCs w:val="24"/>
          <w:lang w:val="en-US"/>
        </w:rPr>
        <w:t xml:space="preserve">, as well as the </w:t>
      </w:r>
      <w:r w:rsidR="00A42E10" w:rsidRPr="006821C1">
        <w:rPr>
          <w:rFonts w:ascii="Courier New" w:eastAsiaTheme="minorEastAsia" w:hAnsi="Courier New" w:cs="Courier New"/>
          <w:sz w:val="24"/>
          <w:szCs w:val="24"/>
          <w:lang w:val="en-US"/>
        </w:rPr>
        <w:t>lmerTest</w:t>
      </w:r>
      <w:r w:rsidR="00A42E10">
        <w:rPr>
          <w:rFonts w:eastAsiaTheme="minorEastAsia"/>
          <w:sz w:val="24"/>
          <w:szCs w:val="24"/>
          <w:lang w:val="en-US"/>
        </w:rPr>
        <w:t xml:space="preserve"> package</w:t>
      </w:r>
      <w:r w:rsidR="007C1C6B">
        <w:rPr>
          <w:rFonts w:eastAsiaTheme="minorEastAsia"/>
          <w:sz w:val="24"/>
          <w:szCs w:val="24"/>
          <w:lang w:val="en-US"/>
        </w:rPr>
        <w:fldChar w:fldCharType="begin"/>
      </w:r>
      <w:r w:rsidR="00B73359">
        <w:rPr>
          <w:rFonts w:eastAsiaTheme="minorEastAsia"/>
          <w:sz w:val="24"/>
          <w:szCs w:val="24"/>
          <w:lang w:val="en-US"/>
        </w:rPr>
        <w:instrText xml:space="preserve"> ADDIN EN.CITE &lt;EndNote&gt;&lt;Cite&gt;&lt;Author&gt;Kuznetsova&lt;/Author&gt;&lt;Year&gt;2017&lt;/Year&gt;&lt;RecNum&gt;15&lt;/RecNum&gt;&lt;DisplayText&gt;&lt;style face="superscript"&gt;3&lt;/style&gt;&lt;/DisplayText&gt;&lt;record&gt;&lt;rec-number&gt;15&lt;/rec-number&gt;&lt;foreign-keys&gt;&lt;key app="EN" db-id="900tt002229eeqefpv6xptw8wvdw99s90wt5" timestamp="1526375652"&gt;15&lt;/key&gt;&lt;/foreign-keys&gt;&lt;ref-type name="Journal Article"&gt;17&lt;/ref-type&gt;&lt;contributors&gt;&lt;authors&gt;&lt;author&gt;Kuznetsova, A&lt;/author&gt;&lt;author&gt;Brockhoff, PB&lt;/author&gt;&lt;author&gt;Christensen, RHB&lt;/author&gt;&lt;/authors&gt;&lt;/contributors&gt;&lt;titles&gt;&lt;title&gt;lmerTest Package: Tests in Linear Mixed Effects Models&lt;/title&gt;&lt;secondary-title&gt;Journal of Statistical Software&lt;/secondary-title&gt;&lt;/titles&gt;&lt;periodical&gt;&lt;full-title&gt;Journal of Statistical Software&lt;/full-title&gt;&lt;/periodical&gt;&lt;pages&gt;1-26&lt;/pages&gt;&lt;volume&gt;82&lt;/volume&gt;&lt;number&gt;13&lt;/number&gt;&lt;dates&gt;&lt;year&gt;2017&lt;/year&gt;&lt;/dates&gt;&lt;urls&gt;&lt;/urls&gt;&lt;electronic-resource-num&gt;10.18637/jss.v082.i13&lt;/electronic-resource-num&gt;&lt;/record&gt;&lt;/Cite&gt;&lt;/EndNote&gt;</w:instrText>
      </w:r>
      <w:r w:rsidR="007C1C6B">
        <w:rPr>
          <w:rFonts w:eastAsiaTheme="minorEastAsia"/>
          <w:sz w:val="24"/>
          <w:szCs w:val="24"/>
          <w:lang w:val="en-US"/>
        </w:rPr>
        <w:fldChar w:fldCharType="separate"/>
      </w:r>
      <w:r w:rsidR="00B73359" w:rsidRPr="00B73359">
        <w:rPr>
          <w:rFonts w:eastAsiaTheme="minorEastAsia"/>
          <w:noProof/>
          <w:sz w:val="24"/>
          <w:szCs w:val="24"/>
          <w:vertAlign w:val="superscript"/>
          <w:lang w:val="en-US"/>
        </w:rPr>
        <w:t>3</w:t>
      </w:r>
      <w:r w:rsidR="007C1C6B">
        <w:rPr>
          <w:rFonts w:eastAsiaTheme="minorEastAsia"/>
          <w:sz w:val="24"/>
          <w:szCs w:val="24"/>
          <w:lang w:val="en-US"/>
        </w:rPr>
        <w:fldChar w:fldCharType="end"/>
      </w:r>
      <w:r w:rsidR="00A42E10">
        <w:rPr>
          <w:rFonts w:eastAsiaTheme="minorEastAsia"/>
          <w:sz w:val="24"/>
          <w:szCs w:val="24"/>
          <w:lang w:val="en-US"/>
        </w:rPr>
        <w:t xml:space="preserve"> for presenting results</w:t>
      </w:r>
      <w:r>
        <w:rPr>
          <w:rFonts w:eastAsiaTheme="minorEastAsia"/>
          <w:sz w:val="24"/>
          <w:szCs w:val="24"/>
          <w:lang w:val="en-US"/>
        </w:rPr>
        <w:t xml:space="preserve">. For Tukey post-hoc tests, we will use the </w:t>
      </w:r>
      <w:r w:rsidRPr="006821C1">
        <w:rPr>
          <w:rFonts w:ascii="Courier New" w:eastAsiaTheme="minorEastAsia" w:hAnsi="Courier New" w:cs="Courier New"/>
          <w:sz w:val="24"/>
          <w:szCs w:val="24"/>
          <w:lang w:val="en-US"/>
        </w:rPr>
        <w:t>glht</w:t>
      </w:r>
      <w:r>
        <w:rPr>
          <w:rFonts w:eastAsiaTheme="minorEastAsia"/>
          <w:sz w:val="24"/>
          <w:szCs w:val="24"/>
          <w:lang w:val="en-US"/>
        </w:rPr>
        <w:t xml:space="preserve"> function from the </w:t>
      </w:r>
      <w:r w:rsidRPr="006821C1">
        <w:rPr>
          <w:rFonts w:ascii="Courier New" w:eastAsiaTheme="minorEastAsia" w:hAnsi="Courier New" w:cs="Courier New"/>
          <w:sz w:val="24"/>
          <w:szCs w:val="24"/>
          <w:lang w:val="en-US"/>
        </w:rPr>
        <w:t>multcomp</w:t>
      </w:r>
      <w:r w:rsidR="00A42E10">
        <w:rPr>
          <w:rFonts w:eastAsiaTheme="minorEastAsia"/>
          <w:sz w:val="24"/>
          <w:szCs w:val="24"/>
          <w:lang w:val="en-US"/>
        </w:rPr>
        <w:t xml:space="preserve"> package</w:t>
      </w:r>
      <w:r w:rsidR="007C1C6B">
        <w:rPr>
          <w:rFonts w:eastAsiaTheme="minorEastAsia"/>
          <w:sz w:val="24"/>
          <w:szCs w:val="24"/>
          <w:lang w:val="en-US"/>
        </w:rPr>
        <w:fldChar w:fldCharType="begin"/>
      </w:r>
      <w:r w:rsidR="00B73359">
        <w:rPr>
          <w:rFonts w:eastAsiaTheme="minorEastAsia"/>
          <w:sz w:val="24"/>
          <w:szCs w:val="24"/>
          <w:lang w:val="en-US"/>
        </w:rPr>
        <w:instrText xml:space="preserve"> ADDIN EN.CITE &lt;EndNote&gt;&lt;Cite&gt;&lt;Author&gt;Hothorn&lt;/Author&gt;&lt;Year&gt;2008&lt;/Year&gt;&lt;RecNum&gt;16&lt;/RecNum&gt;&lt;DisplayText&gt;&lt;style face="superscript"&gt;4&lt;/style&gt;&lt;/DisplayText&gt;&lt;record&gt;&lt;rec-number&gt;16&lt;/rec-number&gt;&lt;foreign-keys&gt;&lt;key app="EN" db-id="900tt002229eeqefpv6xptw8wvdw99s90wt5" timestamp="1526375800"&gt;16&lt;/key&gt;&lt;/foreign-keys&gt;&lt;ref-type name="Journal Article"&gt;17&lt;/ref-type&gt;&lt;contributors&gt;&lt;authors&gt;&lt;author&gt;Hothorn, Torsten&lt;/author&gt;&lt;author&gt;Bretz, Frank&lt;/author&gt;&lt;author&gt;Westfall, Peter&lt;/author&gt;&lt;/authors&gt;&lt;/contributors&gt;&lt;titles&gt;&lt;title&gt;Simultaneous Inference in General Parametric Models&lt;/title&gt;&lt;secondary-title&gt;Biometrical Journal&lt;/secondary-title&gt;&lt;/titles&gt;&lt;periodical&gt;&lt;full-title&gt;Biometrical Journal&lt;/full-title&gt;&lt;/periodical&gt;&lt;pages&gt;346-363&lt;/pages&gt;&lt;volume&gt;50&lt;/volume&gt;&lt;number&gt;3&lt;/number&gt;&lt;dates&gt;&lt;year&gt;2008&lt;/year&gt;&lt;/dates&gt;&lt;urls&gt;&lt;/urls&gt;&lt;/record&gt;&lt;/Cite&gt;&lt;/EndNote&gt;</w:instrText>
      </w:r>
      <w:r w:rsidR="007C1C6B">
        <w:rPr>
          <w:rFonts w:eastAsiaTheme="minorEastAsia"/>
          <w:sz w:val="24"/>
          <w:szCs w:val="24"/>
          <w:lang w:val="en-US"/>
        </w:rPr>
        <w:fldChar w:fldCharType="separate"/>
      </w:r>
      <w:r w:rsidR="00B73359" w:rsidRPr="00B73359">
        <w:rPr>
          <w:rFonts w:eastAsiaTheme="minorEastAsia"/>
          <w:noProof/>
          <w:sz w:val="24"/>
          <w:szCs w:val="24"/>
          <w:vertAlign w:val="superscript"/>
          <w:lang w:val="en-US"/>
        </w:rPr>
        <w:t>4</w:t>
      </w:r>
      <w:r w:rsidR="007C1C6B">
        <w:rPr>
          <w:rFonts w:eastAsiaTheme="minorEastAsia"/>
          <w:sz w:val="24"/>
          <w:szCs w:val="24"/>
          <w:lang w:val="en-US"/>
        </w:rPr>
        <w:fldChar w:fldCharType="end"/>
      </w:r>
      <w:r w:rsidR="00A42E10">
        <w:rPr>
          <w:rFonts w:eastAsiaTheme="minorEastAsia"/>
          <w:sz w:val="24"/>
          <w:szCs w:val="24"/>
          <w:lang w:val="en-US"/>
        </w:rPr>
        <w:t xml:space="preserve">, with parameters </w:t>
      </w:r>
      <w:r w:rsidR="00A42E10" w:rsidRPr="006821C1">
        <w:rPr>
          <w:rFonts w:ascii="Courier New" w:eastAsiaTheme="minorEastAsia" w:hAnsi="Courier New" w:cs="Courier New"/>
          <w:sz w:val="24"/>
          <w:szCs w:val="24"/>
          <w:lang w:val="en-US"/>
        </w:rPr>
        <w:t>linfct = mcp(Group = “Tukey”)</w:t>
      </w:r>
      <w:r w:rsidR="00A42E10">
        <w:rPr>
          <w:rFonts w:eastAsiaTheme="minorEastAsia"/>
          <w:sz w:val="24"/>
          <w:szCs w:val="24"/>
          <w:lang w:val="en-US"/>
        </w:rPr>
        <w:t xml:space="preserve"> and </w:t>
      </w:r>
      <w:r w:rsidR="00A42E10" w:rsidRPr="006821C1">
        <w:rPr>
          <w:rFonts w:ascii="Courier New" w:eastAsiaTheme="minorEastAsia" w:hAnsi="Courier New" w:cs="Courier New"/>
          <w:sz w:val="24"/>
          <w:szCs w:val="24"/>
          <w:lang w:val="en-US"/>
        </w:rPr>
        <w:t>test = adjusted(“holm”)</w:t>
      </w:r>
      <w:r w:rsidR="00A42E10">
        <w:rPr>
          <w:rFonts w:eastAsiaTheme="minorEastAsia"/>
          <w:sz w:val="24"/>
          <w:szCs w:val="24"/>
          <w:lang w:val="en-US"/>
        </w:rPr>
        <w:t>.</w:t>
      </w:r>
    </w:p>
    <w:p w14:paraId="52E35158" w14:textId="77777777" w:rsidR="004B463A" w:rsidRDefault="004B463A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br w:type="page"/>
      </w:r>
    </w:p>
    <w:p w14:paraId="5C4437F1" w14:textId="77777777" w:rsidR="00534967" w:rsidRDefault="00534967" w:rsidP="004B463A">
      <w:pPr>
        <w:spacing w:line="360" w:lineRule="auto"/>
        <w:rPr>
          <w:sz w:val="24"/>
          <w:szCs w:val="24"/>
          <w:lang w:val="en-US"/>
        </w:rPr>
      </w:pPr>
      <w:bookmarkStart w:id="0" w:name="_GoBack"/>
      <w:bookmarkEnd w:id="0"/>
    </w:p>
    <w:p w14:paraId="14FE6B9D" w14:textId="77777777" w:rsidR="00B73359" w:rsidRPr="00B73359" w:rsidRDefault="00534967" w:rsidP="00B73359">
      <w:pPr>
        <w:pStyle w:val="EndNoteBibliography"/>
        <w:spacing w:after="0"/>
        <w:ind w:left="720" w:hanging="720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ADDIN EN.REFLIST </w:instrText>
      </w:r>
      <w:r>
        <w:rPr>
          <w:sz w:val="24"/>
          <w:szCs w:val="24"/>
        </w:rPr>
        <w:fldChar w:fldCharType="separate"/>
      </w:r>
      <w:r w:rsidR="00B73359" w:rsidRPr="00B73359">
        <w:t>1. R: A language and environment for statistical computing [program]. Vienna: R Foundation for Statistical Computing, 2017.</w:t>
      </w:r>
    </w:p>
    <w:p w14:paraId="72F28281" w14:textId="77777777" w:rsidR="00B73359" w:rsidRPr="00B73359" w:rsidRDefault="00B73359" w:rsidP="00B73359">
      <w:pPr>
        <w:pStyle w:val="EndNoteBibliography"/>
        <w:spacing w:after="0"/>
        <w:ind w:left="720" w:hanging="720"/>
      </w:pPr>
      <w:r w:rsidRPr="00B73359">
        <w:t xml:space="preserve">2. Bates D, Mächler M, Bolker B, et al. Fitting Linear Mixed-Effects Models Using lme4. </w:t>
      </w:r>
      <w:r w:rsidRPr="00B73359">
        <w:rPr>
          <w:i/>
        </w:rPr>
        <w:t>Journal of Statistical Software</w:t>
      </w:r>
      <w:r w:rsidRPr="00B73359">
        <w:t xml:space="preserve"> 2015;67(1):1-48. doi: 10.18637/jss.v067.i01</w:t>
      </w:r>
    </w:p>
    <w:p w14:paraId="07B4F49F" w14:textId="77777777" w:rsidR="00B73359" w:rsidRPr="00B73359" w:rsidRDefault="00B73359" w:rsidP="00B73359">
      <w:pPr>
        <w:pStyle w:val="EndNoteBibliography"/>
        <w:spacing w:after="0"/>
        <w:ind w:left="720" w:hanging="720"/>
      </w:pPr>
      <w:r w:rsidRPr="00B73359">
        <w:t xml:space="preserve">3. Kuznetsova A, Brockhoff P, Christensen R. lmerTest Package: Tests in Linear Mixed Effects Models. </w:t>
      </w:r>
      <w:r w:rsidRPr="00B73359">
        <w:rPr>
          <w:i/>
        </w:rPr>
        <w:t>Journal of Statistical Software</w:t>
      </w:r>
      <w:r w:rsidRPr="00B73359">
        <w:t xml:space="preserve"> 2017;82(13):1-26. doi: 10.18637/jss.v082.i13</w:t>
      </w:r>
    </w:p>
    <w:p w14:paraId="467210F0" w14:textId="77777777" w:rsidR="00B73359" w:rsidRPr="00B73359" w:rsidRDefault="00B73359" w:rsidP="00B73359">
      <w:pPr>
        <w:pStyle w:val="EndNoteBibliography"/>
        <w:ind w:left="720" w:hanging="720"/>
      </w:pPr>
      <w:r w:rsidRPr="00B73359">
        <w:t xml:space="preserve">4. Hothorn T, Bretz F, Westfall P. Simultaneous Inference in General Parametric Models. </w:t>
      </w:r>
      <w:r w:rsidRPr="00B73359">
        <w:rPr>
          <w:i/>
        </w:rPr>
        <w:t>Biometrical Journal</w:t>
      </w:r>
      <w:r w:rsidRPr="00B73359">
        <w:t xml:space="preserve"> 2008;50(3):346-63.</w:t>
      </w:r>
    </w:p>
    <w:p w14:paraId="336B2996" w14:textId="139140DD" w:rsidR="00303EC7" w:rsidRPr="004B463A" w:rsidRDefault="00534967" w:rsidP="004B463A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end"/>
      </w:r>
    </w:p>
    <w:sectPr w:rsidR="00303EC7" w:rsidRPr="004B463A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31AD3" w14:textId="77777777" w:rsidR="00E902C3" w:rsidRDefault="00E902C3" w:rsidP="006A21A6">
      <w:pPr>
        <w:spacing w:after="0" w:line="240" w:lineRule="auto"/>
      </w:pPr>
      <w:r>
        <w:separator/>
      </w:r>
    </w:p>
  </w:endnote>
  <w:endnote w:type="continuationSeparator" w:id="0">
    <w:p w14:paraId="2C714AA8" w14:textId="77777777" w:rsidR="00E902C3" w:rsidRDefault="00E902C3" w:rsidP="006A2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5D4F4" w14:textId="77777777" w:rsidR="00E902C3" w:rsidRDefault="00E902C3" w:rsidP="006A21A6">
      <w:pPr>
        <w:spacing w:after="0" w:line="240" w:lineRule="auto"/>
      </w:pPr>
      <w:r>
        <w:separator/>
      </w:r>
    </w:p>
  </w:footnote>
  <w:footnote w:type="continuationSeparator" w:id="0">
    <w:p w14:paraId="319B22B3" w14:textId="77777777" w:rsidR="00E902C3" w:rsidRDefault="00E902C3" w:rsidP="006A2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89E8C" w14:textId="348DD644" w:rsidR="00E902C3" w:rsidRPr="006A21A6" w:rsidRDefault="00E902C3" w:rsidP="006A21A6">
    <w:r w:rsidRPr="006A21A6">
      <w:t>HEL-8032 Final Exam – Candidate number 9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 w:rsidR="00C334AF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63B9"/>
    <w:multiLevelType w:val="hybridMultilevel"/>
    <w:tmpl w:val="D770A35E"/>
    <w:lvl w:ilvl="0" w:tplc="BF1AD40A">
      <w:start w:val="1"/>
      <w:numFmt w:val="decimal"/>
      <w:pStyle w:val="EndNoteBibliography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CF42B0E">
      <w:start w:val="4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27FB7"/>
    <w:multiLevelType w:val="hybridMultilevel"/>
    <w:tmpl w:val="930251CE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B16D5A"/>
    <w:multiLevelType w:val="hybridMultilevel"/>
    <w:tmpl w:val="BBFE78B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CF42B0E">
      <w:start w:val="4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C1BCD"/>
    <w:multiLevelType w:val="hybridMultilevel"/>
    <w:tmpl w:val="C336956C"/>
    <w:lvl w:ilvl="0" w:tplc="5BEAAF1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MJ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00tt002229eeqefpv6xptw8wvdw99s90wt5&quot;&gt;References exam&lt;record-ids&gt;&lt;item&gt;14&lt;/item&gt;&lt;item&gt;15&lt;/item&gt;&lt;item&gt;16&lt;/item&gt;&lt;item&gt;17&lt;/item&gt;&lt;/record-ids&gt;&lt;/item&gt;&lt;/Libraries&gt;"/>
  </w:docVars>
  <w:rsids>
    <w:rsidRoot w:val="006A21A6"/>
    <w:rsid w:val="00037C55"/>
    <w:rsid w:val="00080B0B"/>
    <w:rsid w:val="0008227A"/>
    <w:rsid w:val="00112716"/>
    <w:rsid w:val="001906BD"/>
    <w:rsid w:val="00195B52"/>
    <w:rsid w:val="001A3BC5"/>
    <w:rsid w:val="00256947"/>
    <w:rsid w:val="00281212"/>
    <w:rsid w:val="002B36C7"/>
    <w:rsid w:val="002C6611"/>
    <w:rsid w:val="00303EC7"/>
    <w:rsid w:val="00333DA8"/>
    <w:rsid w:val="0037085D"/>
    <w:rsid w:val="00375156"/>
    <w:rsid w:val="0042270B"/>
    <w:rsid w:val="00467281"/>
    <w:rsid w:val="004B463A"/>
    <w:rsid w:val="004C2858"/>
    <w:rsid w:val="005168C1"/>
    <w:rsid w:val="00534967"/>
    <w:rsid w:val="00574CCF"/>
    <w:rsid w:val="005C570C"/>
    <w:rsid w:val="00610D63"/>
    <w:rsid w:val="006821C1"/>
    <w:rsid w:val="006A21A6"/>
    <w:rsid w:val="006A26FC"/>
    <w:rsid w:val="006A700A"/>
    <w:rsid w:val="00771248"/>
    <w:rsid w:val="007A5464"/>
    <w:rsid w:val="007B5AC0"/>
    <w:rsid w:val="007C1C6B"/>
    <w:rsid w:val="007D6AD6"/>
    <w:rsid w:val="00890508"/>
    <w:rsid w:val="00983BD0"/>
    <w:rsid w:val="00996679"/>
    <w:rsid w:val="009C6DA9"/>
    <w:rsid w:val="009E1ED0"/>
    <w:rsid w:val="00A42E10"/>
    <w:rsid w:val="00A473FF"/>
    <w:rsid w:val="00A812D2"/>
    <w:rsid w:val="00AF0BE2"/>
    <w:rsid w:val="00B322C8"/>
    <w:rsid w:val="00B73359"/>
    <w:rsid w:val="00B814E4"/>
    <w:rsid w:val="00C334AF"/>
    <w:rsid w:val="00C648E0"/>
    <w:rsid w:val="00C929BC"/>
    <w:rsid w:val="00CB0AFB"/>
    <w:rsid w:val="00CE1034"/>
    <w:rsid w:val="00D02158"/>
    <w:rsid w:val="00DF05A7"/>
    <w:rsid w:val="00E03FD7"/>
    <w:rsid w:val="00E04B0E"/>
    <w:rsid w:val="00E137BA"/>
    <w:rsid w:val="00E43C05"/>
    <w:rsid w:val="00E902C3"/>
    <w:rsid w:val="00F41E86"/>
    <w:rsid w:val="00FD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A0A2A"/>
  <w15:chartTrackingRefBased/>
  <w15:docId w15:val="{ACDF58F3-5A36-49F1-817E-8F42F2EE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A21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A21A6"/>
  </w:style>
  <w:style w:type="paragraph" w:styleId="Bunntekst">
    <w:name w:val="footer"/>
    <w:basedOn w:val="Normal"/>
    <w:link w:val="BunntekstTegn"/>
    <w:uiPriority w:val="99"/>
    <w:unhideWhenUsed/>
    <w:rsid w:val="006A21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A21A6"/>
  </w:style>
  <w:style w:type="paragraph" w:styleId="Listeavsnitt">
    <w:name w:val="List Paragraph"/>
    <w:basedOn w:val="Normal"/>
    <w:link w:val="ListeavsnittTegn"/>
    <w:uiPriority w:val="34"/>
    <w:qFormat/>
    <w:rsid w:val="00467281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610D63"/>
    <w:rPr>
      <w:color w:val="808080"/>
    </w:rPr>
  </w:style>
  <w:style w:type="paragraph" w:customStyle="1" w:styleId="EndNoteBibliographyTitle">
    <w:name w:val="EndNote Bibliography Title"/>
    <w:basedOn w:val="Normal"/>
    <w:link w:val="EndNoteBibliographyTitleTegn"/>
    <w:rsid w:val="00534967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eavsnittTegn">
    <w:name w:val="Listeavsnitt Tegn"/>
    <w:basedOn w:val="Standardskriftforavsnitt"/>
    <w:link w:val="Listeavsnitt"/>
    <w:uiPriority w:val="34"/>
    <w:rsid w:val="00534967"/>
  </w:style>
  <w:style w:type="character" w:customStyle="1" w:styleId="EndNoteBibliographyTitleTegn">
    <w:name w:val="EndNote Bibliography Title Tegn"/>
    <w:basedOn w:val="ListeavsnittTegn"/>
    <w:link w:val="EndNoteBibliographyTitle"/>
    <w:rsid w:val="00534967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Tegn"/>
    <w:rsid w:val="00534967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Tegn">
    <w:name w:val="EndNote Bibliography Tegn"/>
    <w:basedOn w:val="ListeavsnittTegn"/>
    <w:link w:val="EndNoteBibliography"/>
    <w:rsid w:val="00534967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1982F-7819-4913-8534-C258C5428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1461</Words>
  <Characters>7745</Characters>
  <Application>Microsoft Office Word</Application>
  <DocSecurity>0</DocSecurity>
  <Lines>64</Lines>
  <Paragraphs>18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Friis Berntsen</dc:creator>
  <cp:keywords/>
  <dc:description/>
  <cp:lastModifiedBy>Christopher Friis Berntsen</cp:lastModifiedBy>
  <cp:revision>2</cp:revision>
  <dcterms:created xsi:type="dcterms:W3CDTF">2018-05-15T09:34:00Z</dcterms:created>
  <dcterms:modified xsi:type="dcterms:W3CDTF">2018-05-15T09:34:00Z</dcterms:modified>
</cp:coreProperties>
</file>