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Five-phase improvement roadmap</w:t>
      </w:r>
    </w:p>
    <w:p>
      <w:r>
        <w:t>Delta Prospect System • Repository review • 24 October 2026</w:t>
      </w:r>
    </w:p>
    <w:p>
      <w:pPr>
        <w:pStyle w:val="Heading2"/>
      </w:pPr>
      <w:r>
        <w:t>Recommendation</w:t>
      </w:r>
    </w:p>
    <w:p>
      <w:r>
        <w:t>Make the existing platform dependable, make its rankings defensible, then turn its intelligence into a repeatable business-development workflow. The current application already has substantial capability: ASX ingestion, disqualification gates, rule-based signals, full-document AI analysis, contact enrichment, watchlists, snapshots, and company exports.</w:t>
      </w:r>
    </w:p>
    <w:p>
      <w:r>
        <w:t>The most valuable next investment is trust. An analyst must be able to tell why a company ranks highly, whether the underlying evidence is current, whether a background task actually finished, and what action to take next.</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rPr>
                <w:sz w:val="18"/>
              </w:rPr>
              <w:t>Phase</w:t>
            </w:r>
          </w:p>
        </w:tc>
        <w:tc>
          <w:tcPr>
            <w:tcW w:type="dxa" w:w="3250"/>
          </w:tcPr>
          <w:p>
            <w:r>
              <w:rPr>
                <w:sz w:val="18"/>
              </w:rPr>
              <w:t>Business result</w:t>
            </w:r>
          </w:p>
        </w:tc>
        <w:tc>
          <w:tcPr>
            <w:tcW w:type="dxa" w:w="3250"/>
          </w:tcPr>
          <w:p>
            <w:r>
              <w:rPr>
                <w:sz w:val="18"/>
              </w:rPr>
              <w:t>Planning allowance</w:t>
            </w:r>
          </w:p>
        </w:tc>
      </w:tr>
      <w:tr>
        <w:tc>
          <w:tcPr>
            <w:tcW w:type="dxa" w:w="3250"/>
          </w:tcPr>
          <w:p>
            <w:r>
              <w:rPr>
                <w:sz w:val="18"/>
              </w:rPr>
              <w:t>1. Reliable and controlled operation</w:t>
            </w:r>
          </w:p>
        </w:tc>
        <w:tc>
          <w:tcPr>
            <w:tcW w:type="dxa" w:w="3250"/>
          </w:tcPr>
          <w:p>
            <w:r>
              <w:rPr>
                <w:sz w:val="18"/>
              </w:rPr>
              <w:t>Deploy, restart, and recover without losing control of work or replacing analyst data.</w:t>
            </w:r>
          </w:p>
        </w:tc>
        <w:tc>
          <w:tcPr>
            <w:tcW w:type="dxa" w:w="3250"/>
          </w:tcPr>
          <w:p>
            <w:r>
              <w:rPr>
                <w:sz w:val="18"/>
              </w:rPr>
              <w:t>12–18 developer days</w:t>
            </w:r>
          </w:p>
        </w:tc>
      </w:tr>
      <w:tr>
        <w:tc>
          <w:tcPr>
            <w:tcW w:type="dxa" w:w="3250"/>
          </w:tcPr>
          <w:p>
            <w:r>
              <w:rPr>
                <w:sz w:val="18"/>
              </w:rPr>
              <w:t>2. Reliable evidence and data quality</w:t>
            </w:r>
          </w:p>
        </w:tc>
        <w:tc>
          <w:tcPr>
            <w:tcW w:type="dxa" w:w="3250"/>
          </w:tcPr>
          <w:p>
            <w:r>
              <w:rPr>
                <w:sz w:val="18"/>
              </w:rPr>
              <w:t>Repeated analysis cannot inflate scores; every finding has a traceable source.</w:t>
            </w:r>
          </w:p>
        </w:tc>
        <w:tc>
          <w:tcPr>
            <w:tcW w:type="dxa" w:w="3250"/>
          </w:tcPr>
          <w:p>
            <w:r>
              <w:rPr>
                <w:sz w:val="18"/>
              </w:rPr>
              <w:t>10–15 developer days</w:t>
            </w:r>
          </w:p>
        </w:tc>
      </w:tr>
      <w:tr>
        <w:tc>
          <w:tcPr>
            <w:tcW w:type="dxa" w:w="3250"/>
          </w:tcPr>
          <w:p>
            <w:r>
              <w:rPr>
                <w:sz w:val="18"/>
              </w:rPr>
              <w:t>3. Defensible intelligence and ranking</w:t>
            </w:r>
          </w:p>
        </w:tc>
        <w:tc>
          <w:tcPr>
            <w:tcW w:type="dxa" w:w="3250"/>
          </w:tcPr>
          <w:p>
            <w:r>
              <w:rPr>
                <w:sz w:val="18"/>
              </w:rPr>
              <w:t>Explainable priorities, evaluated AI output, and explicit commercial assumptions.</w:t>
            </w:r>
          </w:p>
        </w:tc>
        <w:tc>
          <w:tcPr>
            <w:tcW w:type="dxa" w:w="3250"/>
          </w:tcPr>
          <w:p>
            <w:r>
              <w:rPr>
                <w:sz w:val="18"/>
              </w:rPr>
              <w:t>12–18 developer days</w:t>
            </w:r>
          </w:p>
        </w:tc>
      </w:tr>
      <w:tr>
        <w:tc>
          <w:tcPr>
            <w:tcW w:type="dxa" w:w="3250"/>
          </w:tcPr>
          <w:p>
            <w:r>
              <w:rPr>
                <w:sz w:val="18"/>
              </w:rPr>
              <w:t>4. Analyst-to-opportunity workflow</w:t>
            </w:r>
          </w:p>
        </w:tc>
        <w:tc>
          <w:tcPr>
            <w:tcW w:type="dxa" w:w="3250"/>
          </w:tcPr>
          <w:p>
            <w:r>
              <w:rPr>
                <w:sz w:val="18"/>
              </w:rPr>
              <w:t>A clear next action, accountable owner, and usable company brief for each priority lead.</w:t>
            </w:r>
          </w:p>
        </w:tc>
        <w:tc>
          <w:tcPr>
            <w:tcW w:type="dxa" w:w="3250"/>
          </w:tcPr>
          <w:p>
            <w:r>
              <w:rPr>
                <w:sz w:val="18"/>
              </w:rPr>
              <w:t>10–15 developer days</w:t>
            </w:r>
          </w:p>
        </w:tc>
      </w:tr>
      <w:tr>
        <w:tc>
          <w:tcPr>
            <w:tcW w:type="dxa" w:w="3250"/>
          </w:tcPr>
          <w:p>
            <w:r>
              <w:rPr>
                <w:sz w:val="18"/>
              </w:rPr>
              <w:t>5. Measured operation and commercial learning</w:t>
            </w:r>
          </w:p>
        </w:tc>
        <w:tc>
          <w:tcPr>
            <w:tcW w:type="dxa" w:w="3250"/>
          </w:tcPr>
          <w:p>
            <w:r>
              <w:rPr>
                <w:sz w:val="18"/>
              </w:rPr>
              <w:t>Track reliability, spending, and sales outcomes; scale only when measurements justify it.</w:t>
            </w:r>
          </w:p>
        </w:tc>
        <w:tc>
          <w:tcPr>
            <w:tcW w:type="dxa" w:w="3250"/>
          </w:tcPr>
          <w:p>
            <w:r>
              <w:rPr>
                <w:sz w:val="18"/>
              </w:rPr>
              <w:t>8–12 developer days</w:t>
            </w:r>
          </w:p>
        </w:tc>
      </w:tr>
    </w:tbl>
    <w:p>
      <w:pPr>
        <w:pStyle w:val="Heading2"/>
      </w:pPr>
      <w:r>
        <w:t>Scope and assumptions</w:t>
      </w:r>
    </w:p>
    <w:p>
      <w:r>
        <w:t>This is a proposal, not an implementation. It assumes one consultancy, a small internal team, the existing ASX target sectors, and continued use of FastAPI, React, and PostgreSQL. Keep the free rule-based path available. Paid AI and contact services should remain optional and subject to explicit budgets.</w:t>
      </w:r>
    </w:p>
    <w:p>
      <w:r>
        <w:t>The allowances total 52–78 developer days: roughly 11–16 working weeks for one experienced developer before contingency. Reserve 20–30% for provider behaviour, migration rehearsal, and user review: approximately 13–21 weeks overall. These are estimates, not quotes; actual hosting, provider subscriptions, and engineering rates were not inspected.</w:t>
      </w:r>
    </w:p>
    <w:p>
      <w:pPr>
        <w:pStyle w:val="Heading2"/>
      </w:pPr>
      <w:r>
        <w:t>First decision</w:t>
      </w:r>
    </w:p>
    <w:p>
      <w:r>
        <w:t>Approve Phase 1 as the first implementation slice. Agree the deployment environment, who may trigger paid analysis, and a monthly provider budget before implementing those controls. Review each phase against its exit criteria before starting dependent work.</w:t>
      </w:r>
    </w:p>
    <w:p>
      <w:r>
        <w:br w:type="page"/>
      </w:r>
    </w:p>
    <w:p>
      <w:pPr>
        <w:pStyle w:val="Heading1"/>
      </w:pPr>
      <w:r>
        <w:t>Review basis and current baseline</w:t>
      </w:r>
    </w:p>
    <w:p>
      <w:pPr>
        <w:pStyle w:val="Heading2"/>
      </w:pPr>
      <w:r>
        <w:t>What was checked</w:t>
      </w:r>
    </w:p>
    <w:p>
      <w:r>
        <w:t>Reviewed the local backend, database schema, Docker and Railway configuration, frontend routing and active pages, repository instructions, and existing test files. No live deployment, production database, provider account, or paid API was accessed. The findings below describe code behaviour and local checks, not observed production incidents.</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sz w:val="18"/>
              </w:rPr>
              <w:t>Check</w:t>
            </w:r>
          </w:p>
        </w:tc>
        <w:tc>
          <w:tcPr>
            <w:tcW w:type="dxa" w:w="4874"/>
          </w:tcPr>
          <w:p>
            <w:r>
              <w:rPr>
                <w:sz w:val="18"/>
              </w:rPr>
              <w:t>Result and limitation</w:t>
            </w:r>
          </w:p>
        </w:tc>
      </w:tr>
      <w:tr>
        <w:tc>
          <w:tcPr>
            <w:tcW w:type="dxa" w:w="4874"/>
          </w:tcPr>
          <w:p>
            <w:r>
              <w:rPr>
                <w:sz w:val="18"/>
              </w:rPr>
              <w:t>Focused backend tests</w:t>
            </w:r>
          </w:p>
        </w:tc>
        <w:tc>
          <w:tcPr>
            <w:tcW w:type="dxa" w:w="4874"/>
          </w:tcPr>
          <w:p>
            <w:r>
              <w:rPr>
                <w:sz w:val="18"/>
              </w:rPr>
              <w:t>15 passed: test_asx_directory_feed.py, test_contact_enrichment.py, and test_company_report.py. Covers feed parsing/fallback, contact transformations, and CSV report behaviour.</w:t>
            </w:r>
          </w:p>
        </w:tc>
      </w:tr>
      <w:tr>
        <w:tc>
          <w:tcPr>
            <w:tcW w:type="dxa" w:w="4874"/>
          </w:tcPr>
          <w:p>
            <w:r>
              <w:rPr>
                <w:sz w:val="18"/>
              </w:rPr>
              <w:t>Frontend production build</w:t>
            </w:r>
          </w:p>
        </w:tc>
        <w:tc>
          <w:tcPr>
            <w:tcW w:type="dxa" w:w="4874"/>
          </w:tcPr>
          <w:p>
            <w:r>
              <w:rPr>
                <w:sz w:val="18"/>
              </w:rPr>
              <w:t>npm run build passed using local Node 24.14.0. Reported an old Browserslist dataset and a build-plugin timing warning; neither blocked the build.</w:t>
            </w:r>
          </w:p>
        </w:tc>
      </w:tr>
      <w:tr>
        <w:tc>
          <w:tcPr>
            <w:tcW w:type="dxa" w:w="4874"/>
          </w:tcPr>
          <w:p>
            <w:r>
              <w:rPr>
                <w:sz w:val="18"/>
              </w:rPr>
              <w:t>Frontend lint</w:t>
            </w:r>
          </w:p>
        </w:tc>
        <w:tc>
          <w:tcPr>
            <w:tcW w:type="dxa" w:w="4874"/>
          </w:tcPr>
          <w:p>
            <w:r>
              <w:rPr>
                <w:sz w:val="18"/>
              </w:rPr>
              <w:t>ESLint completed with 0 errors and 6 React-hook dependency warnings across DeepIntelligence.jsx, LeadMatrix.jsx, and the legacy ProspectDetail.jsx. Browser correctness was not tested.</w:t>
            </w:r>
          </w:p>
        </w:tc>
      </w:tr>
      <w:tr>
        <w:tc>
          <w:tcPr>
            <w:tcW w:type="dxa" w:w="4874"/>
          </w:tcPr>
          <w:p>
            <w:r>
              <w:rPr>
                <w:sz w:val="18"/>
              </w:rPr>
              <w:t>Runtime parity</w:t>
            </w:r>
          </w:p>
        </w:tc>
        <w:tc>
          <w:tcPr>
            <w:tcW w:type="dxa" w:w="4874"/>
          </w:tcPr>
          <w:p>
            <w:r>
              <w:rPr>
                <w:sz w:val="18"/>
              </w:rPr>
              <w:t>Local project Python is 3.14.3; Docker uses Python 3.11 and installs Node 20. Verify the exact supported versions in CI and the built image.</w:t>
            </w:r>
          </w:p>
        </w:tc>
      </w:tr>
      <w:tr>
        <w:tc>
          <w:tcPr>
            <w:tcW w:type="dxa" w:w="4874"/>
          </w:tcPr>
          <w:p>
            <w:r>
              <w:rPr>
                <w:sz w:val="18"/>
              </w:rPr>
              <w:t>Not verified</w:t>
            </w:r>
          </w:p>
        </w:tc>
        <w:tc>
          <w:tcPr>
            <w:tcW w:type="dxa" w:w="4874"/>
          </w:tcPr>
          <w:p>
            <w:r>
              <w:rPr>
                <w:sz w:val="18"/>
              </w:rPr>
              <w:t>Database integration tests, snapshot/API roundtrip tests, browser journeys, Docker build, deployed authentication, restore capability, or real provider coverage.</w:t>
            </w:r>
          </w:p>
        </w:tc>
      </w:tr>
    </w:tbl>
    <w:p>
      <w:pPr>
        <w:pStyle w:val="Heading2"/>
      </w:pPr>
      <w:r>
        <w:t>Retain and extend</w:t>
      </w:r>
    </w:p>
    <w:p>
      <w:pPr>
        <w:pStyle w:val="ListBullet"/>
      </w:pPr>
      <w:r>
        <w:t>Keep the market-cap and zero-volume gates, cents-based money fields, and protection against enrichment resurrecting disqualified or archived prospects.</w:t>
      </w:r>
    </w:p>
    <w:p>
      <w:pPr>
        <w:pStyle w:val="ListBullet"/>
      </w:pPr>
      <w:r>
        <w:t>Extend the existing announcement_documents, prospect_intelligence_runs, enrichment_log, and refresh_runs tables. They already provide part of the foundation for evidence and operational history.</w:t>
      </w:r>
    </w:p>
    <w:p>
      <w:pPr>
        <w:pStyle w:val="ListBullet"/>
      </w:pPr>
      <w:r>
        <w:t>Reuse contact enrichment, the existing watchlist, report generators, and snapshots. This roadmap does not count those features as new.</w:t>
      </w:r>
    </w:p>
    <w:p>
      <w:pPr>
        <w:pStyle w:val="ListBullet"/>
      </w:pPr>
      <w:r>
        <w:t>Preserve the intentional distinction: disqualified companies remain visible in the Lead Matrix, while the Deep Intelligence leaderboard excludes them.</w:t>
      </w:r>
    </w:p>
    <w:p>
      <w:pPr>
        <w:pStyle w:val="Heading2"/>
      </w:pPr>
      <w:r>
        <w:t>Important evidence corrections</w:t>
      </w:r>
    </w:p>
    <w:p>
      <w:r>
        <w:t>CLAUDE.md says schema migrations are manual, but api.py currently executes schema.sql at startup. AGENTS.md describes seven pressure categories and older weights; the current schema uses six pillars, including production and license_to_operate. Update those instructions from verified code behaviour in Phase 1.</w:t>
      </w:r>
    </w:p>
    <w:p>
      <w:r>
        <w:t>The working directory contained untracked backup and contact-backfill files before this review. They were not edited or included as delivered application changes. Secret values were not inspected; a filename-only tracked-file check showed the environment example, not tracked environment secret files. This is not a historical secret audit.</w:t>
      </w:r>
    </w:p>
    <w:p>
      <w:r>
        <w:br w:type="page"/>
      </w:r>
    </w:p>
    <w:p>
      <w:pPr>
        <w:pStyle w:val="Heading1"/>
      </w:pPr>
      <w:r>
        <w:t>Phase 1 — Reliable and controlled operation</w:t>
      </w:r>
    </w:p>
    <w:p>
      <w:r>
        <w:t>Priority: immediate. Outcome: the operator can trust deployment, task status, and recovery. Dependency: none. Estimate: 12–18 developer days.</w:t>
      </w:r>
    </w:p>
    <w:p>
      <w:pPr>
        <w:pStyle w:val="Heading2"/>
      </w:pPr>
      <w:r>
        <w:t>Why this comes first</w:t>
      </w:r>
    </w:p>
    <w:p>
      <w:r>
        <w:t>api.py keeps refresh, enrichment, contact, and deep-analysis progress in process memory. Its scheduler starts during application startup. Process-local state cannot coordinate multiple application processes or survive restarts. Startup also executes the full schema and overwrites matching snapshots with committed JSON files.</w:t>
      </w:r>
    </w:p>
    <w:p>
      <w:pPr>
        <w:pStyle w:val="Heading2"/>
      </w:pPr>
      <w:r>
        <w:t>Implementation work</w:t>
      </w:r>
    </w:p>
    <w:p>
      <w:pPr>
        <w:pStyle w:val="ListBullet"/>
      </w:pPr>
      <w:r>
        <w:t>P1.1 — Establish a reproducible baseline. Add CI for the existing pure tests, database integration tests against disposable PostgreSQL, frontend build, and lint. Pin and document supported Python and Node versions. Resolve the relevant React-hook warnings with behaviour checks, without unrelated UI redesign.</w:t>
      </w:r>
    </w:p>
    <w:p>
      <w:pPr>
        <w:pStyle w:val="ListBullet"/>
      </w:pPr>
      <w:r>
        <w:t>P1.2 — Make schema changes deliberate. Introduce numbered migrations with a migration-history table and a single migration runner. Baseline existing databases carefully; rehearse both fresh install and upgrade. Move schema mutation out of ordinary web startup after the migration path is proven.</w:t>
      </w:r>
    </w:p>
    <w:p>
      <w:pPr>
        <w:pStyle w:val="ListBullet"/>
      </w:pPr>
      <w:r>
        <w:t>P1.3 — Protect snapshots. Seed only missing records by default, or compare explicit source versions. Preserve analyst edits and record original evidence dates separately from import dates. Provide an intentional, audited replacement action when an operator really wants to reload a committed snapshot.</w:t>
      </w:r>
    </w:p>
    <w:p>
      <w:pPr>
        <w:pStyle w:val="ListBullet"/>
      </w:pPr>
      <w:r>
        <w:t>P1.4 — Persist background work. Add a PostgreSQL job table and one worker process, with queued/running/succeeded/failed/cancelled states, job IDs, attempts, heartbeat, lease expiry, and bounded retry. Store per-company progress so recovery resumes unfinished work. Claim jobs atomically and use an idempotency key to prevent duplicate dispatch.</w:t>
      </w:r>
    </w:p>
    <w:p>
      <w:pPr>
        <w:pStyle w:val="ListBullet"/>
      </w:pPr>
      <w:r>
        <w:t>P1.5 — Control execution. Have one scheduler enqueue jobs rather than execute them in each web process. Return a job ID from trigger endpoints; report progress from the database. Use short transactions and release database connections during slow external calls. Make cancellation cooperative between companies.</w:t>
      </w:r>
    </w:p>
    <w:p>
      <w:pPr>
        <w:pStyle w:val="ListBullet"/>
      </w:pPr>
      <w:r>
        <w:t>P1.6 — Establish production access and health checks. Require configured authentication in production; reject partially configured credentials. Keep a deliberate local-development mode. Restrict provider-key settings and paid actions to an operator/admin. Separate liveness from database readiness, return HTTP 503 on readiness failure, and avoid exposing raw database errors.</w:t>
      </w:r>
    </w:p>
    <w:p>
      <w:pPr>
        <w:pStyle w:val="Heading2"/>
      </w:pPr>
      <w:r>
        <w:t>Architecture choice</w:t>
      </w:r>
    </w:p>
    <w:p>
      <w:r>
        <w:t>Start with one application, PostgreSQL, and one worker using the same codebase. A PostgreSQL job queue avoids introducing Redis and Celery for this workload. Choose a dedicated broker later if measured throughput, routing, or queue operations justify the extra service. Use a lightweight shared API client in React only where needed to support job status and consistent errors.</w:t>
      </w:r>
    </w:p>
    <w:p>
      <w:pPr>
        <w:pStyle w:val="Heading2"/>
      </w:pPr>
      <w:r>
        <w:t>Concrete deliverables</w:t>
      </w:r>
    </w:p>
    <w:p>
      <w:r>
        <w:t>CI configuration; reproducible runtime instructions; versioned migration baseline; snapshot import policy; persisted jobs and worker entry point; readiness endpoint; authentication configuration checks; a backup-and-restore procedure. Exclude secrets, backups, local dependencies, and unnecessary files from the Docker build context, and consider separate frontend-build and runtime stages.</w:t>
      </w:r>
    </w:p>
    <w:p>
      <w:r>
        <w:br w:type="page"/>
      </w:r>
    </w:p>
    <w:p>
      <w:pPr>
        <w:pStyle w:val="Heading1"/>
      </w:pPr>
      <w:r>
        <w:t>Phase 1 — Completion and release gate</w:t>
      </w:r>
    </w:p>
    <w:p>
      <w:pPr>
        <w:pStyle w:val="Heading2"/>
      </w:pPr>
      <w:r>
        <w:t>Tests to write before changing behaviour</w:t>
      </w:r>
    </w:p>
    <w:p>
      <w:pPr>
        <w:pStyle w:val="ListBullet"/>
      </w:pPr>
      <w:r>
        <w:t>Start two identical jobs concurrently: only one active job is accepted for the same idempotency key.</w:t>
      </w:r>
    </w:p>
    <w:p>
      <w:pPr>
        <w:pStyle w:val="ListBullet"/>
      </w:pPr>
      <w:r>
        <w:t>Stop the worker halfway through a controlled batch; restart it and verify completed companies are not processed again and abandoned leases are reclaimed.</w:t>
      </w:r>
    </w:p>
    <w:p>
      <w:pPr>
        <w:pStyle w:val="ListBullet"/>
      </w:pPr>
      <w:r>
        <w:t>Edit a snapshot, restart the application, and verify the edit and its evidence date survive.</w:t>
      </w:r>
    </w:p>
    <w:p>
      <w:pPr>
        <w:pStyle w:val="ListBullet"/>
      </w:pPr>
      <w:r>
        <w:t>Upgrade a database fixture from the current schema and install a fresh database. Re-running the migration runner must not repeat completed migrations.</w:t>
      </w:r>
    </w:p>
    <w:p>
      <w:pPr>
        <w:pStyle w:val="ListBullet"/>
      </w:pPr>
      <w:r>
        <w:t>Fail the database readiness query: return 503 without connection details. Reject an unauthenticated protected request and reject production startup with missing or partial auth configuration.</w:t>
      </w:r>
    </w:p>
    <w:p>
      <w:pPr>
        <w:pStyle w:val="Heading2"/>
      </w:pPr>
      <w:r>
        <w:t>Exit criteria</w:t>
      </w:r>
    </w:p>
    <w:p>
      <w:r>
        <w:t>A release candidate passes the agreed CI gates and a deployment rehearsal on a disposable environment. Jobs and snapshots survive restart. A backup is restored into an isolated database and representative records, signals, and snapshots match the source. Proposed initial recovery targets: lose no more than 24 hours of data and restore within four hours; confirm these with the operator.</w:t>
      </w:r>
    </w:p>
    <w:p>
      <w:pPr>
        <w:pStyle w:val="Heading2"/>
      </w:pPr>
      <w:r>
        <w:t>Rollout and rollback</w:t>
      </w:r>
    </w:p>
    <w:p>
      <w:r>
        <w:t>Deploy additive migrations first. Introduce the worker behind a switch and run a small controlled batch before moving all triggers. Keep one scheduler active. Take a database backup before migration; rollback application code only when the schema remains compatible. Restoring a backup is the fallback for incompatible data changes, with an explicit record of changes lost since the backup.</w:t>
      </w:r>
    </w:p>
    <w:p>
      <w:pPr>
        <w:pStyle w:val="Heading2"/>
      </w:pPr>
      <w:r>
        <w:t>Owner and operational choices</w:t>
      </w:r>
    </w:p>
    <w:p>
      <w:r>
        <w:t>Developer: implementation, migration rehearsal, and automated tests. Operator: production access policy, recovery targets, and confirmation that edited snapshots survive. Resolve whether Railway or local Docker is the intended production target rather than relying on the project folder name.</w:t>
      </w:r>
    </w:p>
    <w:p>
      <w:pPr>
        <w:pStyle w:val="Heading2"/>
      </w:pPr>
      <w:r>
        <w:t>What to postpone</w:t>
      </w:r>
    </w:p>
    <w:p>
      <w:r>
        <w:t>Do not split the platform into microservices or introduce orchestration infrastructure. Do not implement a full identity platform for a single operator; shared Basic Auth over HTTPS may remain an interim option. Add individual accounts when multiple users require attribution or different permissions.</w:t>
      </w:r>
    </w:p>
    <w:p>
      <w:r>
        <w:br w:type="page"/>
      </w:r>
    </w:p>
    <w:p>
      <w:pPr>
        <w:pStyle w:val="Heading1"/>
      </w:pPr>
      <w:r>
        <w:t>Phase 2 — Reliable evidence and data quality</w:t>
      </w:r>
    </w:p>
    <w:p>
      <w:r>
        <w:t>Priority: high. Outcome: repeated processing produces stable, traceable intelligence. Dependency: Phase 1 migrations and durable jobs. Estimate: 10–15 developer days.</w:t>
      </w:r>
    </w:p>
    <w:p>
      <w:pPr>
        <w:pStyle w:val="Heading2"/>
      </w:pPr>
      <w:r>
        <w:t>Why this matters</w:t>
      </w:r>
    </w:p>
    <w:p>
      <w:r>
        <w:t>The rule engine deduplicates by company, pillar, and source URL. However, api.py gives new AI signals a synthetic claude-deep URL containing a hash of the summary and current time. Repeating the same finding can therefore create a new row. The SQL score sums stored valid signals without a date cutoff, although ingestion applies a 24-month lookback to newly detected rule signals.</w:t>
      </w:r>
    </w:p>
    <w:p>
      <w:pPr>
        <w:pStyle w:val="Heading2"/>
      </w:pPr>
      <w:r>
        <w:t>Implementation work</w:t>
      </w:r>
    </w:p>
    <w:p>
      <w:pPr>
        <w:pStyle w:val="ListBullet"/>
      </w:pPr>
      <w:r>
        <w:t>P2.1 — Make evidence identity stable. Link AI findings to a stored document ID and the actual source URL. Use a stable finding key based on company, document/content identity, pillar, and a normalized claim identity. Store repeated assessments as revisions, not extra evidence. Keep a separate run ID for audit history.</w:t>
      </w:r>
    </w:p>
    <w:p>
      <w:pPr>
        <w:pStyle w:val="ListBullet"/>
      </w:pPr>
      <w:r>
        <w:t>P2.2 — Repair existing data carefully. Produce a dry-run duplicate report, retain the best-supported record, and mark superseded rows with an audit trail. Recalculate scores on a shadow copy first. Synthetic legacy sources without recoverable evidence must be labelled unverified rather than assigned invented citations.</w:t>
      </w:r>
    </w:p>
    <w:p>
      <w:pPr>
        <w:pStyle w:val="ListBullet"/>
      </w:pPr>
      <w:r>
        <w:t>P2.3 — Separate event time and processing time. Track source publication date, event period where available, retrieval time, and analysis time. Record source quality and coverage. Unknown dates remain visibly unknown. Apply a documented stale-signal policy during scoring as well as ingestion.</w:t>
      </w:r>
    </w:p>
    <w:p>
      <w:pPr>
        <w:pStyle w:val="ListBullet"/>
      </w:pPr>
      <w:r>
        <w:t>P2.4 — Improve source coverage incrementally. Preserve the ASX feed fallback and truncated-feed checks already present. Extend the existing document collection/discovery path to approved company investor-relations archives where the limited announcements feed lacks history. Record document dates and failed fetches; a successful request must not imply complete historical coverage.</w:t>
      </w:r>
    </w:p>
    <w:p>
      <w:pPr>
        <w:pStyle w:val="ListBullet"/>
      </w:pPr>
      <w:r>
        <w:t>P2.5 — Make data-quality decisions reviewable. Retain current gate thresholds until the operator approves a policy change. Attach observation dates and reason codes to DQ decisions; surface stale or missing market data separately from confirmed zero volume. Offer a review queue for companies whose data has improved without automatically reversing an analyst decision.</w:t>
      </w:r>
    </w:p>
    <w:p>
      <w:pPr>
        <w:pStyle w:val="ListBullet"/>
      </w:pPr>
      <w:r>
        <w:t>P2.6 — Reconcile contact evidence. Merge identities across providers using conservative matches and retain provider history. Separate named decision makers, inferred identities, generic company inboxes, and verified email addresses. Use existing last_verified_at and email_status fields rather than inventing a second contact model.</w:t>
      </w:r>
    </w:p>
    <w:p>
      <w:pPr>
        <w:pStyle w:val="Heading2"/>
      </w:pPr>
      <w:r>
        <w:t>Collection safeguards</w:t>
      </w:r>
    </w:p>
    <w:p>
      <w:r>
        <w:t>Centralize timeouts, provider-specific rate limits, bounded retry with jitter, and Retry-After handling. Reuse existing document hashes to avoid repeated paid extraction. For URL fetchers, validate scheme, destination, redirects, response size, and content type; block private-network destinations. Test these boundaries before broadening crawl discovery.</w:t>
      </w:r>
    </w:p>
    <w:p>
      <w:pPr>
        <w:pStyle w:val="Heading2"/>
      </w:pPr>
      <w:r>
        <w:t>Concrete deliverables</w:t>
      </w:r>
    </w:p>
    <w:p>
      <w:r>
        <w:t>Stable evidence/finding keys; document-to-signal references; duplicate review and migration report; freshness and coverage fields; DQ review queue; contact provenance labels; provider fetch policy. Add indexes only for measured query paths.</w:t>
      </w:r>
    </w:p>
    <w:p>
      <w:r>
        <w:br w:type="page"/>
      </w:r>
    </w:p>
    <w:p>
      <w:pPr>
        <w:pStyle w:val="Heading1"/>
      </w:pPr>
      <w:r>
        <w:t>Phase 2 — Completion and data transition</w:t>
      </w:r>
    </w:p>
    <w:p>
      <w:pPr>
        <w:pStyle w:val="Heading2"/>
      </w:pPr>
      <w:r>
        <w:t>Tests to write first</w:t>
      </w:r>
    </w:p>
    <w:p>
      <w:pPr>
        <w:pStyle w:val="ListBullet"/>
      </w:pPr>
      <w:r>
        <w:t>Analyze the same evidence twice: the second run does not create an extra active finding or change the score solely because it ran again.</w:t>
      </w:r>
    </w:p>
    <w:p>
      <w:pPr>
        <w:pStyle w:val="ListBullet"/>
      </w:pPr>
      <w:r>
        <w:t>A changed document is stored as a new version with provenance; an equivalent URL resolves to the same canonical document where evidence establishes equivalence.</w:t>
      </w:r>
    </w:p>
    <w:p>
      <w:pPr>
        <w:pStyle w:val="ListBullet"/>
      </w:pPr>
      <w:r>
        <w:t>Reject malformed or truncated directory data before it marks absent companies inactive. Preserve the existing duplicate-ticker and minimum-count checks.</w:t>
      </w:r>
    </w:p>
    <w:p>
      <w:pPr>
        <w:pStyle w:val="ListBullet"/>
      </w:pPr>
      <w:r>
        <w:t>Exercise DQ thresholds at exact boundaries and with missing cap, missing volume, stale dates, existing DQ status, and archived status.</w:t>
      </w:r>
    </w:p>
    <w:p>
      <w:pPr>
        <w:pStyle w:val="ListBullet"/>
      </w:pPr>
      <w:r>
        <w:t>Simulate provider throttling, timeouts, a redirect to a private address, and an oversized response. Each produces a bounded, recorded failure without blocking the whole batch.</w:t>
      </w:r>
    </w:p>
    <w:p>
      <w:pPr>
        <w:pStyle w:val="ListBullet"/>
      </w:pPr>
      <w:r>
        <w:t>An unknown source date is displayed as unknown; a generic inbox cannot be labelled a named, verified decision maker.</w:t>
      </w:r>
    </w:p>
    <w:p>
      <w:pPr>
        <w:pStyle w:val="Heading2"/>
      </w:pPr>
      <w:r>
        <w:t>Exit criteria</w:t>
      </w:r>
    </w:p>
    <w:p>
      <w:r>
        <w:t>Every newly created AI finding has a valid document reference or an explicit unverified status that excludes it from promoted evidence. Reprocessing an unchanged fixture set leaves active finding counts and ranking stable. The operator reviews the highest-impact duplicate corrections before they affect the displayed leaderboard.</w:t>
      </w:r>
    </w:p>
    <w:p>
      <w:r>
        <w:t>Proposed freshness starting points: market observations from the latest completed trading session, active-watchlist contact verification within 90 days, and a visible warning when a priority company's research is older than 30 days. These are configurable working policies to validate with the operator, not existing service guarantees.</w:t>
      </w:r>
    </w:p>
    <w:p>
      <w:pPr>
        <w:pStyle w:val="Heading2"/>
      </w:pPr>
      <w:r>
        <w:t>Rollout and rollback</w:t>
      </w:r>
    </w:p>
    <w:p>
      <w:r>
        <w:t>Add identity and provenance fields without deleting old rows. Generate a before/after report for signal count, score, tier, and prize per company. Use supersession flags for initial deduplication so corrections can be reversed. Reconcile a small reviewed set, then expand. Keep the original scoring version available until Phase 3 evaluation is complete.</w:t>
      </w:r>
    </w:p>
    <w:p>
      <w:pPr>
        <w:pStyle w:val="Heading2"/>
      </w:pPr>
      <w:r>
        <w:t>Tradeoff</w:t>
      </w:r>
    </w:p>
    <w:p>
      <w:r>
        <w:t>Broader source collection increases coverage and provider cost, and may encounter extraction failures or usage restrictions. Start with the top 50 companies and the watchlist; widen only when source-quality measurements improve. Avoid claiming a complete two-year history from an endpoint that supplies only a short recent list.</w:t>
      </w:r>
    </w:p>
    <w:p>
      <w:r>
        <w:br w:type="page"/>
      </w:r>
    </w:p>
    <w:p>
      <w:pPr>
        <w:pStyle w:val="Heading1"/>
      </w:pPr>
      <w:r>
        <w:t>Phase 3 — Defensible intelligence and ranking</w:t>
      </w:r>
    </w:p>
    <w:p>
      <w:r>
        <w:t>Priority: high. Outcome: analysts can explain and challenge each recommendation. Dependency: Phase 2 evidence quality. Estimate: 12–18 developer days.</w:t>
      </w:r>
    </w:p>
    <w:p>
      <w:pPr>
        <w:pStyle w:val="Heading2"/>
      </w:pPr>
      <w:r>
        <w:t>Why this matters</w:t>
      </w:r>
    </w:p>
    <w:p>
      <w:r>
        <w:t>The current score uses signal strength, pillar weight, and a likelihood multiplier. The likelihood heuristic itself depends on signal volume and strength, amplifying those inputs twice. The SQL score does not use source age or confidence. The prize calculator deliberately uses approximate keyword-based values. AI output is parsed as JSON, but the reviewed V3 path does not enforce a complete typed output contract.</w:t>
      </w:r>
    </w:p>
    <w:p>
      <w:pPr>
        <w:pStyle w:val="Heading2"/>
      </w:pPr>
      <w:r>
        <w:t>Implementation work</w:t>
      </w:r>
    </w:p>
    <w:p>
      <w:pPr>
        <w:pStyle w:val="ListBullet"/>
      </w:pPr>
      <w:r>
        <w:t>P3.1 — Build an evaluation set before tuning. Select 40–60 companies across the four target groups, company sizes, positive signals, routine disclosures, and DQ cases. Have the business owner label relevant evidence, operational fit, and whether a company merits outreach. Hold back part of the set for final evaluation.</w:t>
      </w:r>
    </w:p>
    <w:p>
      <w:pPr>
        <w:pStyle w:val="ListBullet"/>
      </w:pPr>
      <w:r>
        <w:t>P3.2 — Version the scoring policy. Show fit, current pressure, evidence confidence, and research freshness separately. Retain a composite score for sorting, with a visible component breakdown. Introduce recency decay and limits on repeated evidence of the same event only after testing candidate policies against the baseline.</w:t>
      </w:r>
    </w:p>
    <w:p>
      <w:pPr>
        <w:pStyle w:val="ListBullet"/>
      </w:pPr>
      <w:r>
        <w:t>P3.3 — Align score and tier. Compute both from the same persisted, valid, eligible signal set. Today save_results derives a tier from the current batch while SQL scoring reads persisted signals. Consolidate the calculation contract so incremental enrichment cannot leave the two representations inconsistent.</w:t>
      </w:r>
    </w:p>
    <w:p>
      <w:pPr>
        <w:pStyle w:val="ListBullet"/>
      </w:pPr>
      <w:r>
        <w:t>P3.4 — Validate AI responses. Use typed schemas for fields, enums, ranges, and citations. Require claim-level document IDs and supporting excerpts that can be checked against stored text. Distinguish direct facts, model interpretation, and commercial hypotheses. Mark unsupported claims for review and reject malformed output before persistence.</w:t>
      </w:r>
    </w:p>
    <w:p>
      <w:pPr>
        <w:pStyle w:val="ListBullet"/>
      </w:pPr>
      <w:r>
        <w:t>P3.5 — Calibrate commercial estimates. Present low/base/high opportunity ranges with explicit assumptions, currency, units, and evidence. Separate the client's potential business improvement from New Delta's potential fee and from probability-weighted pipeline. Audit existing prize units before migration; current market cap is explicitly cents, while the prize module describes dollar values.</w:t>
      </w:r>
    </w:p>
    <w:p>
      <w:pPr>
        <w:pStyle w:val="ListBullet"/>
      </w:pPr>
      <w:r>
        <w:t>P3.6 — Control paid analysis. Use free triage first, then paid analysis for selected promising companies. Record model, prompt/policy version, document hashes, separate input/output token counts, and provider cost estimates. Add job/company/month budgets, an estimated-cost confirmation for batches, and cache reuse when the evidence and analysis version are unchanged.</w:t>
      </w:r>
    </w:p>
    <w:p>
      <w:pPr>
        <w:pStyle w:val="Heading2"/>
      </w:pPr>
      <w:r>
        <w:t>Concrete deliverables</w:t>
      </w:r>
    </w:p>
    <w:p>
      <w:r>
        <w:t>Labelled evaluation set; versioned score specification; score explanation panel; validated AI response schema; citation checks; prize assumptions/range display; provider usage ledger and budget gate. Preserve the current score as the comparison baseline.</w:t>
      </w:r>
    </w:p>
    <w:p>
      <w:pPr>
        <w:pStyle w:val="Heading2"/>
      </w:pPr>
      <w:r>
        <w:t>Design choice</w:t>
      </w:r>
    </w:p>
    <w:p>
      <w:r>
        <w:t>Prefer transparent rules plus reviewed AI synthesis at this scale. A learned ranking model needs enough reliable outcome labels to beat that baseline; introducing one now would create complexity without evidence of better recommendations.</w:t>
      </w:r>
    </w:p>
    <w:p>
      <w:r>
        <w:br w:type="page"/>
      </w:r>
    </w:p>
    <w:p>
      <w:pPr>
        <w:pStyle w:val="Heading1"/>
      </w:pPr>
      <w:r>
        <w:t>Phase 3 — Completion and quality gate</w:t>
      </w:r>
    </w:p>
    <w:p>
      <w:pPr>
        <w:pStyle w:val="Heading2"/>
      </w:pPr>
      <w:r>
        <w:t>Tests and evaluation</w:t>
      </w:r>
    </w:p>
    <w:p>
      <w:pPr>
        <w:pStyle w:val="ListBullet"/>
      </w:pPr>
      <w:r>
        <w:t>Use deterministic provider fixtures for malformed JSON, valid JSON with incorrect field types, missing citations, fabricated document IDs, and out-of-range values. These cases must not update production intelligence.</w:t>
      </w:r>
    </w:p>
    <w:p>
      <w:pPr>
        <w:pStyle w:val="ListBullet"/>
      </w:pPr>
      <w:r>
        <w:t>Test that a document containing instructions to the model is treated as source data and cannot alter the output contract or trigger tool actions.</w:t>
      </w:r>
    </w:p>
    <w:p>
      <w:pPr>
        <w:pStyle w:val="ListBullet"/>
      </w:pPr>
      <w:r>
        <w:t>Check that a resolved or old event contributes according to the explicit policy, and that five reports describing one event do not count as five independent opportunities.</w:t>
      </w:r>
    </w:p>
    <w:p>
      <w:pPr>
        <w:pStyle w:val="ListBullet"/>
      </w:pPr>
      <w:r>
        <w:t>Test spend reservation across simultaneous jobs. A job must not start a paid call when it would exceed the configured allowance; reconcile estimates with provider-reported usage.</w:t>
      </w:r>
    </w:p>
    <w:p>
      <w:pPr>
        <w:pStyle w:val="ListBullet"/>
      </w:pPr>
      <w:r>
        <w:t>Compare old and candidate rankings on the held-out review set. Review large ranking changes individually before rollout.</w:t>
      </w:r>
    </w:p>
    <w:p>
      <w:pPr>
        <w:pStyle w:val="Heading2"/>
      </w:pPr>
      <w:r>
        <w:t>Exit criteria</w:t>
      </w:r>
    </w:p>
    <w:p>
      <w:r>
        <w:t>Every promoted AI claim links to supporting stored evidence; every displayed estimate identifies its assumptions. All displayed scores identify their policy version. Repeating unchanged analysis leaves the score stable. Paid execution respects configured budgets under concurrent job tests.</w:t>
      </w:r>
    </w:p>
    <w:p>
      <w:r>
        <w:t>Proposed pilot acceptance target: at least 16 of the top 20 reviewed companies merit an analyst's follow-up under an agreed rubric, with no deterioration from the baseline. Use this as a product acceptance sample, not statistical proof of conversion uplift. Report sample size, disagreements, and false positives rather than presenting model confidence as calibrated probability.</w:t>
      </w:r>
    </w:p>
    <w:p>
      <w:pPr>
        <w:pStyle w:val="Heading2"/>
      </w:pPr>
      <w:r>
        <w:t>Rollout and rollback</w:t>
      </w:r>
    </w:p>
    <w:p>
      <w:r>
        <w:t>Run candidate scores alongside the existing scores without changing the default ranking. Review differences by sector and company size. Switch the displayed version only after acceptance; retain the previous version for rollback. Never silently rewrite prior reports when a score policy changes.</w:t>
      </w:r>
    </w:p>
    <w:p>
      <w:pPr>
        <w:pStyle w:val="Heading2"/>
      </w:pPr>
      <w:r>
        <w:t>Operator review</w:t>
      </w:r>
    </w:p>
    <w:p>
      <w:r>
        <w:t>The business owner must define what makes an actionable operational opportunity. For example, a capital raising alone may indicate financing activity rather than a need for New Delta's services. Use routine announcements and ambiguous cases as negative examples to reduce convincing but weak recommendations.</w:t>
      </w:r>
    </w:p>
    <w:p>
      <w:r>
        <w:br w:type="page"/>
      </w:r>
    </w:p>
    <w:p>
      <w:pPr>
        <w:pStyle w:val="Heading1"/>
      </w:pPr>
      <w:r>
        <w:t>Phase 4 — Analyst-to-opportunity workflow</w:t>
      </w:r>
    </w:p>
    <w:p>
      <w:r>
        <w:t>Priority: after reliable rankings. Outcome: an analyst can move from a prioritized company to a reviewed next action without losing context. Dependencies: Phases 1–3. Estimate: 10–15 developer days.</w:t>
      </w:r>
    </w:p>
    <w:p>
      <w:pPr>
        <w:pStyle w:val="Heading2"/>
      </w:pPr>
      <w:r>
        <w:t>Build on the existing product</w:t>
      </w:r>
    </w:p>
    <w:p>
      <w:r>
        <w:t>The app already has Lead Matrix filters, watchlisting, notes, buyer fields, network-path fields, contact exports, and company reports. The next improvement is a connected daily workflow, clearer feedback, and saved decisions. Watchlist currently reuses LeadMatrix, so extend that view rather than creating an unrelated replacement.</w:t>
      </w:r>
    </w:p>
    <w:p>
      <w:pPr>
        <w:pStyle w:val="Heading2"/>
      </w:pPr>
      <w:r>
        <w:t>Implementation work</w:t>
      </w:r>
    </w:p>
    <w:p>
      <w:pPr>
        <w:pStyle w:val="ListBullet"/>
      </w:pPr>
      <w:r>
        <w:t>P4.1 — Add a daily review queue. Combine newly material evidence, stale priority research, overdue actions, and pending DQ reviews. Let the user save filters and restore them from a shareable URL. Each row should explain why it needs attention.</w:t>
      </w:r>
    </w:p>
    <w:p>
      <w:pPr>
        <w:pStyle w:val="ListBullet"/>
      </w:pPr>
      <w:r>
        <w:t>P4.2 — Add ownership and next action. Record owner, next-action type, due date, last contact, and outcome. Keep commercial opportunity stages distinct from enrichment/DQ status, so contacting a company does not destroy its research state. Start with one active opportunity per company unless the workflow proves that insufficient.</w:t>
      </w:r>
    </w:p>
    <w:p>
      <w:pPr>
        <w:pStyle w:val="ListBullet"/>
      </w:pPr>
      <w:r>
        <w:t>P4.3 — Maintain an activity timeline. Record notes, status changes, research runs, accepted/rejected signals, contact attempts, and report exports with actor and timestamp. Preserve manual overrides with a reason. Prevent silent overwrite when two users edit the same record.</w:t>
      </w:r>
    </w:p>
    <w:p>
      <w:pPr>
        <w:pStyle w:val="ListBullet"/>
      </w:pPr>
      <w:r>
        <w:t>P4.4 — Make decisions transparent. Put evidence age, coverage gaps, score explanations, contact-verification labels, and prize assumptions near the decision controls. Provide clear loading, empty, partial-data, failed-job, and retry states. Distinguish no evidence found from research not completed.</w:t>
      </w:r>
    </w:p>
    <w:p>
      <w:pPr>
        <w:pStyle w:val="ListBullet"/>
      </w:pPr>
      <w:r>
        <w:t>P4.5 — Improve interface reliability. Centralize response-status handling and cancellation for shared requests. Prevent old search responses overwriting newer results, handle optimistic-update failures, and back off polling on repeated errors. Preserve the company ID in legacy /prospects/:id redirects. Add keyboard focus, labelled controls, and readable table layouts.</w:t>
      </w:r>
    </w:p>
    <w:p>
      <w:pPr>
        <w:pStyle w:val="ListBullet"/>
      </w:pPr>
      <w:r>
        <w:t>P4.6 — Improve handoff. Extend the existing DOCX/PDF/CSV report paths with research-as-of date, source references, score policy, contact status, and agreed next action. Provide a preview and field mapping for a manual CRM export if needed. Keep outbound communication explicitly initiated and reviewed by the user.</w:t>
      </w:r>
    </w:p>
    <w:p>
      <w:pPr>
        <w:pStyle w:val="Heading2"/>
      </w:pPr>
      <w:r>
        <w:t>Concrete deliverables</w:t>
      </w:r>
    </w:p>
    <w:p>
      <w:r>
        <w:t>Daily queue; saved views; ownership and action fields; opportunity stages; activity history; evidence-aware company brief; accessible, consistent error states; browser regression coverage for the main analyst journey.</w:t>
      </w:r>
    </w:p>
    <w:p>
      <w:pPr>
        <w:pStyle w:val="Heading2"/>
      </w:pPr>
      <w:r>
        <w:t>Tradeoff</w:t>
      </w:r>
    </w:p>
    <w:p>
      <w:r>
        <w:t>Use the application for research and lightweight opportunity tracking first. Build two-way CRM synchronization only after confirming the actual CRM, field ownership, deduplication rules, and user demand. Automatic email outreach would add a separate operational responsibility and is outside this roadmap's core scope.</w:t>
      </w:r>
    </w:p>
    <w:p>
      <w:r>
        <w:br w:type="page"/>
      </w:r>
    </w:p>
    <w:p>
      <w:pPr>
        <w:pStyle w:val="Heading1"/>
      </w:pPr>
      <w:r>
        <w:t>Phase 4 — Completion and user acceptance</w:t>
      </w:r>
    </w:p>
    <w:p>
      <w:pPr>
        <w:pStyle w:val="Heading2"/>
      </w:pPr>
      <w:r>
        <w:t>Representative end-to-end journey</w:t>
      </w:r>
    </w:p>
    <w:p>
      <w:r>
        <w:t>Open the review queue → filter to a target sector → understand why a company ranks highly → inspect the source → accept or reject a finding → choose a buyer → set a follow-up → export a reviewed brief → revisit the saved work after restart.</w:t>
      </w:r>
    </w:p>
    <w:p>
      <w:pPr>
        <w:pStyle w:val="Heading2"/>
      </w:pPr>
      <w:r>
        <w:t>Tests to write first</w:t>
      </w:r>
    </w:p>
    <w:p>
      <w:pPr>
        <w:pStyle w:val="ListBullet"/>
      </w:pPr>
      <w:r>
        <w:t>Run the journey against controlled fixtures, covering successful, empty, stale-data, unauthorized, and failed-job responses.</w:t>
      </w:r>
    </w:p>
    <w:p>
      <w:pPr>
        <w:pStyle w:val="ListBullet"/>
      </w:pPr>
      <w:r>
        <w:t>Confirm company-specific deep links and legacy redirects land on the requested company.</w:t>
      </w:r>
    </w:p>
    <w:p>
      <w:pPr>
        <w:pStyle w:val="ListBullet"/>
      </w:pPr>
      <w:r>
        <w:t>Test competing note edits, failed watchlist updates, rapid search changes, and browser navigation while a job is running.</w:t>
      </w:r>
    </w:p>
    <w:p>
      <w:pPr>
        <w:pStyle w:val="ListBullet"/>
      </w:pPr>
      <w:r>
        <w:t>Verify DQ visibility remains intentional in the Lead Matrix and exclusion remains correct in Deep Intelligence.</w:t>
      </w:r>
    </w:p>
    <w:p>
      <w:pPr>
        <w:pStyle w:val="ListBullet"/>
      </w:pPr>
      <w:r>
        <w:t>Validate representative DOCX, PDF, and CSV exports for sources, dates, field ordering, currency units, and unsafe spreadsheet formula prefixes.</w:t>
      </w:r>
    </w:p>
    <w:p>
      <w:pPr>
        <w:pStyle w:val="ListBullet"/>
      </w:pPr>
      <w:r>
        <w:t>Complete the core journey using the keyboard; check focus after dialogs and readable error announcements.</w:t>
      </w:r>
    </w:p>
    <w:p>
      <w:pPr>
        <w:pStyle w:val="Heading2"/>
      </w:pPr>
      <w:r>
        <w:t>Exit criteria</w:t>
      </w:r>
    </w:p>
    <w:p>
      <w:r>
        <w:t>Pilot with the operator on at least ten representative companies. Every selected priority company has an owner, an evidence-based reason for attention, and a recorded next action. Saved decisions survive reload and restart. A failed save is visible and never appears as a successful persisted change.</w:t>
      </w:r>
    </w:p>
    <w:p>
      <w:r>
        <w:t>Measure the current time required to review and prepare a company brief before changing the workflow. A proposed target is a 30% reduction in median preparation time without reduced source-review quality. Confirm whether this target is meaningful after collecting the baseline.</w:t>
      </w:r>
    </w:p>
    <w:p>
      <w:pPr>
        <w:pStyle w:val="Heading2"/>
      </w:pPr>
      <w:r>
        <w:t>Rollout and rollback</w:t>
      </w:r>
    </w:p>
    <w:p>
      <w:r>
        <w:t>Introduce the queue and activity fields additively. Keep the existing Lead Matrix available during the pilot. Export mappings and stage labels should be agreed with the operator before bulk use. Disable the new workflow view if necessary while retaining recorded activities.</w:t>
      </w:r>
    </w:p>
    <w:p>
      <w:pPr>
        <w:pStyle w:val="Heading2"/>
      </w:pPr>
      <w:r>
        <w:t>Practical scope control</w:t>
      </w:r>
    </w:p>
    <w:p>
      <w:r>
        <w:t>Avoid a visual redesign unless it directly improves the reviewed journey. Split large frontend components only around features being changed. Remove unused legacy pages only after route and reference checks establish that removal is safe.</w:t>
      </w:r>
    </w:p>
    <w:p>
      <w:r>
        <w:br w:type="page"/>
      </w:r>
    </w:p>
    <w:p>
      <w:pPr>
        <w:pStyle w:val="Heading1"/>
      </w:pPr>
      <w:r>
        <w:t>Phase 5 — Measured operation and commercial learning</w:t>
      </w:r>
    </w:p>
    <w:p>
      <w:r>
        <w:t>Priority: consolidate and optimize. Outcome: the operator can see whether the platform is reliable, affordable, and producing useful opportunities. Dependencies: stable job/evidence history and Phase 4 outcome capture. Estimate: 8–12 developer days.</w:t>
      </w:r>
    </w:p>
    <w:p>
      <w:pPr>
        <w:pStyle w:val="Heading2"/>
      </w:pPr>
      <w:r>
        <w:t>Implementation work</w:t>
      </w:r>
    </w:p>
    <w:p>
      <w:pPr>
        <w:pStyle w:val="ListBullet"/>
      </w:pPr>
      <w:r>
        <w:t>P5.1 — Add an operator health view. Show last successful refresh, company-detail freshness, coverage, job age, failure/retry rates, provider throttling, stale worker heartbeats, database health, and backup status. Keep business and operational freshness distinct.</w:t>
      </w:r>
    </w:p>
    <w:p>
      <w:pPr>
        <w:pStyle w:val="ListBullet"/>
      </w:pPr>
      <w:r>
        <w:t>P5.2 — Add actionable monitoring. Use structured logs with request/job IDs, concise error summaries, and scrubbed secrets. Alert on failed scheduled refreshes, stuck jobs, budget thresholds, and backup failures. Decide alert destination and responsible person before enabling notifications.</w:t>
      </w:r>
    </w:p>
    <w:p>
      <w:pPr>
        <w:pStyle w:val="ListBullet"/>
      </w:pPr>
      <w:r>
        <w:t>P5.3 — Measure commercial outcomes. Track review → qualified conversation → meeting → proposal → won/lost, with reason codes and stage dates. Attribute to the evidence and score version used at the time. Measure conversion by cohort, sector, and source, including sample sizes and time lag.</w:t>
      </w:r>
    </w:p>
    <w:p>
      <w:pPr>
        <w:pStyle w:val="ListBullet"/>
      </w:pPr>
      <w:r>
        <w:t>P5.4 — Measure unit economics. Track provider spending per researched company and per accepted opportunity, analyst time per reviewed brief, and cost per qualified conversation. Reconcile the ledger with actual provider billing; distinguish estimated from invoiced costs.</w:t>
      </w:r>
    </w:p>
    <w:p>
      <w:pPr>
        <w:pStyle w:val="ListBullet"/>
      </w:pPr>
      <w:r>
        <w:t>P5.5 — Tune with evidence. Profile representative API requests and slow SQL before adding indexes or caching. Use EXPLAIN ANALYZE safely on realistic disposable data. Add query-plan regression checks for genuinely expensive paths. Reuse evidence hashes and cached analyses before increasing provider spend.</w:t>
      </w:r>
    </w:p>
    <w:p>
      <w:pPr>
        <w:pStyle w:val="ListBullet"/>
      </w:pPr>
      <w:r>
        <w:t>P5.6 — Establish an operating routine. Schedule restore rehearsals, dependency updates, provider-contract checks, and scoring reviews. Add retention/archival rules for raw contact payloads and documents where appropriate. Review rejected signals and lost opportunities monthly; propose score changes through the Phase 3 evaluation process.</w:t>
      </w:r>
    </w:p>
    <w:p>
      <w:pPr>
        <w:pStyle w:val="Heading2"/>
      </w:pPr>
      <w:r>
        <w:t>Concrete deliverables</w:t>
      </w:r>
    </w:p>
    <w:p>
      <w:r>
        <w:t>Operational dashboard; metric definitions; alert runbook; conversion funnel and cohort reports; provider-cost reconciliation; measured query improvements; restore drill record; monthly review template; current installation and recovery instructions.</w:t>
      </w:r>
    </w:p>
    <w:p>
      <w:pPr>
        <w:pStyle w:val="Heading2"/>
      </w:pPr>
      <w:r>
        <w:t>Scaling decision</w:t>
      </w:r>
    </w:p>
    <w:p>
      <w:r>
        <w:t>The ASX universe is small enough to begin with one PostgreSQL database and a modest worker. Increase workers only after checking provider limits and database capacity. Add caching, a broker, or dedicated search only when measurements show that simpler tuning cannot meet the agreed targets.</w:t>
      </w:r>
    </w:p>
    <w:p>
      <w:r>
        <w:br w:type="page"/>
      </w:r>
    </w:p>
    <w:p>
      <w:pPr>
        <w:pStyle w:val="Heading1"/>
      </w:pPr>
      <w:r>
        <w:t>Phase 5 — Completion and ongoing ownership</w:t>
      </w:r>
    </w:p>
    <w:p>
      <w:pPr>
        <w:pStyle w:val="Heading2"/>
      </w:pPr>
      <w:r>
        <w:t>Proposed service targets</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sz w:val="18"/>
              </w:rPr>
              <w:t>Measure</w:t>
            </w:r>
          </w:p>
        </w:tc>
        <w:tc>
          <w:tcPr>
            <w:tcW w:type="dxa" w:w="4874"/>
          </w:tcPr>
          <w:p>
            <w:r>
              <w:rPr>
                <w:sz w:val="18"/>
              </w:rPr>
              <w:t>Initial acceptance target</w:t>
            </w:r>
          </w:p>
        </w:tc>
      </w:tr>
      <w:tr>
        <w:tc>
          <w:tcPr>
            <w:tcW w:type="dxa" w:w="4874"/>
          </w:tcPr>
          <w:p>
            <w:r>
              <w:rPr>
                <w:sz w:val="18"/>
              </w:rPr>
              <w:t>Refresh freshness</w:t>
            </w:r>
          </w:p>
        </w:tc>
        <w:tc>
          <w:tcPr>
            <w:tcW w:type="dxa" w:w="4874"/>
          </w:tcPr>
          <w:p>
            <w:r>
              <w:rPr>
                <w:sz w:val="18"/>
              </w:rPr>
              <w:t>At least 95% of active target companies have detail observations from the latest completed trading session, or a visible provider/missing-data reason. Validate what the source actually supplies.</w:t>
            </w:r>
          </w:p>
        </w:tc>
      </w:tr>
      <w:tr>
        <w:tc>
          <w:tcPr>
            <w:tcW w:type="dxa" w:w="4874"/>
          </w:tcPr>
          <w:p>
            <w:r>
              <w:rPr>
                <w:sz w:val="18"/>
              </w:rPr>
              <w:t>Scheduled work</w:t>
            </w:r>
          </w:p>
        </w:tc>
        <w:tc>
          <w:tcPr>
            <w:tcW w:type="dxa" w:w="4874"/>
          </w:tcPr>
          <w:p>
            <w:r>
              <w:rPr>
                <w:sz w:val="18"/>
              </w:rPr>
              <w:t>At least 95% of scheduled refresh jobs succeed over a rolling 30-day window; missed refreshes create a visible alert.</w:t>
            </w:r>
          </w:p>
        </w:tc>
      </w:tr>
      <w:tr>
        <w:tc>
          <w:tcPr>
            <w:tcW w:type="dxa" w:w="4874"/>
          </w:tcPr>
          <w:p>
            <w:r>
              <w:rPr>
                <w:sz w:val="18"/>
              </w:rPr>
              <w:t>API responsiveness</w:t>
            </w:r>
          </w:p>
        </w:tc>
        <w:tc>
          <w:tcPr>
            <w:tcW w:type="dxa" w:w="4874"/>
          </w:tcPr>
          <w:p>
            <w:r>
              <w:rPr>
                <w:sz w:val="18"/>
              </w:rPr>
              <w:t>95th-percentile list/search response below one second at ten concurrent interactive users on a representative 2,000-company dataset. Measure server latency separately from browser rendering.</w:t>
            </w:r>
          </w:p>
        </w:tc>
      </w:tr>
      <w:tr>
        <w:tc>
          <w:tcPr>
            <w:tcW w:type="dxa" w:w="4874"/>
          </w:tcPr>
          <w:p>
            <w:r>
              <w:rPr>
                <w:sz w:val="18"/>
              </w:rPr>
              <w:t>Recovery</w:t>
            </w:r>
          </w:p>
        </w:tc>
        <w:tc>
          <w:tcPr>
            <w:tcW w:type="dxa" w:w="4874"/>
          </w:tcPr>
          <w:p>
            <w:r>
              <w:rPr>
                <w:sz w:val="18"/>
              </w:rPr>
              <w:t>Demonstrated restore meeting the approved Phase 1 recovery-time and data-loss targets.</w:t>
            </w:r>
          </w:p>
        </w:tc>
      </w:tr>
      <w:tr>
        <w:tc>
          <w:tcPr>
            <w:tcW w:type="dxa" w:w="4874"/>
          </w:tcPr>
          <w:p>
            <w:r>
              <w:rPr>
                <w:sz w:val="18"/>
              </w:rPr>
              <w:t>Cost controls</w:t>
            </w:r>
          </w:p>
        </w:tc>
        <w:tc>
          <w:tcPr>
            <w:tcW w:type="dxa" w:w="4874"/>
          </w:tcPr>
          <w:p>
            <w:r>
              <w:rPr>
                <w:sz w:val="18"/>
              </w:rPr>
              <w:t>All paid requests have ledger entries; configured budget ceilings are enforced, including simultaneous jobs.</w:t>
            </w:r>
          </w:p>
        </w:tc>
      </w:tr>
      <w:tr>
        <w:tc>
          <w:tcPr>
            <w:tcW w:type="dxa" w:w="4874"/>
          </w:tcPr>
          <w:p>
            <w:r>
              <w:rPr>
                <w:sz w:val="18"/>
              </w:rPr>
              <w:t>Commercial measurement</w:t>
            </w:r>
          </w:p>
        </w:tc>
        <w:tc>
          <w:tcPr>
            <w:tcW w:type="dxa" w:w="4874"/>
          </w:tcPr>
          <w:p>
            <w:r>
              <w:rPr>
                <w:sz w:val="18"/>
              </w:rPr>
              <w:t>Every pilot opportunity has stage dates and an outcome/reason when closed. Reports show sample size and lag; do not claim causation from a small cohort.</w:t>
            </w:r>
          </w:p>
        </w:tc>
      </w:tr>
    </w:tbl>
    <w:p>
      <w:pPr>
        <w:pStyle w:val="Heading2"/>
      </w:pPr>
      <w:r>
        <w:t>Verification</w:t>
      </w:r>
    </w:p>
    <w:p>
      <w:r>
        <w:t>Inject one provider outage and one abandoned-worker condition in a test environment and verify the correct operational alert. Run a bounded load test using stubbed providers, then perform a restore rehearsal into a clean database. Reconcile one billing period before trusting cost-per-opportunity reports.</w:t>
      </w:r>
    </w:p>
    <w:p>
      <w:pPr>
        <w:pStyle w:val="Heading2"/>
      </w:pPr>
      <w:r>
        <w:t>Exit criteria</w:t>
      </w:r>
    </w:p>
    <w:p>
      <w:r>
        <w:t>Complete a 30-day operational observation window with the agreed targets or documented corrective actions. The operator can identify the last successful refresh, investigate a failed company, restart interrupted work, find a source, and export a brief without developer assistance.</w:t>
      </w:r>
    </w:p>
    <w:p>
      <w:pPr>
        <w:pStyle w:val="Heading2"/>
      </w:pPr>
      <w:r>
        <w:t>Ownership</w:t>
      </w:r>
    </w:p>
    <w:p>
      <w:r>
        <w:t>Developer: release pipeline, migration safety, monitoring implementation, dependency updates, and performance work. Operator/business owner: opportunity labels, provider budget, allowed sources, outcome quality, and review cadence. Assign a named owner for backups and alerts; an unowned notification is not an operating process.</w:t>
      </w:r>
    </w:p>
    <w:p>
      <w:pPr>
        <w:pStyle w:val="Heading2"/>
      </w:pPr>
      <w:r>
        <w:t>Rollout and rollback</w:t>
      </w:r>
    </w:p>
    <w:p>
      <w:r>
        <w:t>Add monitoring and measurement without changing score behaviour. Release performance changes individually with before/after measurements. Retain the prior query path or index rollback plan. Do not use apparent short-term conversion gains to bypass evidence-quality gates.</w:t>
      </w:r>
    </w:p>
    <w:p>
      <w:r>
        <w:br w:type="page"/>
      </w:r>
    </w:p>
    <w:p>
      <w:pPr>
        <w:pStyle w:val="Heading1"/>
      </w:pPr>
      <w:r>
        <w:t>Priorities, dependencies, and first implementation slice</w:t>
      </w:r>
    </w:p>
    <w:p>
      <w:pPr>
        <w:pStyle w:val="Heading2"/>
      </w:pPr>
      <w:r>
        <w:t>Recommended order</w:t>
      </w:r>
    </w:p>
    <w:p>
      <w:r>
        <w:t>Phase 1 → Phase 2 → Phase 3 → Phase 4 → Phase 5. Begin collecting baseline timings and outcomes early, but defer optimization and automated decisions until the data is dependable. Evaluation-set labelling can proceed alongside Phase 2; final score tuning depends on Phase 2 evidence corrections.</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rPr>
                <w:sz w:val="18"/>
              </w:rPr>
              <w:t>Priority</w:t>
            </w:r>
          </w:p>
        </w:tc>
        <w:tc>
          <w:tcPr>
            <w:tcW w:type="dxa" w:w="3250"/>
          </w:tcPr>
          <w:p>
            <w:r>
              <w:rPr>
                <w:sz w:val="18"/>
              </w:rPr>
              <w:t>First action</w:t>
            </w:r>
          </w:p>
        </w:tc>
        <w:tc>
          <w:tcPr>
            <w:tcW w:type="dxa" w:w="3250"/>
          </w:tcPr>
          <w:p>
            <w:r>
              <w:rPr>
                <w:sz w:val="18"/>
              </w:rPr>
              <w:t>Why</w:t>
            </w:r>
          </w:p>
        </w:tc>
      </w:tr>
      <w:tr>
        <w:tc>
          <w:tcPr>
            <w:tcW w:type="dxa" w:w="3250"/>
          </w:tcPr>
          <w:p>
            <w:r>
              <w:rPr>
                <w:sz w:val="18"/>
              </w:rPr>
              <w:t>Immediate</w:t>
            </w:r>
          </w:p>
        </w:tc>
        <w:tc>
          <w:tcPr>
            <w:tcW w:type="dxa" w:w="3250"/>
          </w:tcPr>
          <w:p>
            <w:r>
              <w:rPr>
                <w:sz w:val="18"/>
              </w:rPr>
              <w:t>Protect snapshot edits and make production auth configuration explicit.</w:t>
            </w:r>
          </w:p>
        </w:tc>
        <w:tc>
          <w:tcPr>
            <w:tcW w:type="dxa" w:w="3250"/>
          </w:tcPr>
          <w:p>
            <w:r>
              <w:rPr>
                <w:sz w:val="18"/>
              </w:rPr>
              <w:t>Prevents surprising data replacement and accidental unrestricted deployment.</w:t>
            </w:r>
          </w:p>
        </w:tc>
      </w:tr>
      <w:tr>
        <w:tc>
          <w:tcPr>
            <w:tcW w:type="dxa" w:w="3250"/>
          </w:tcPr>
          <w:p>
            <w:r>
              <w:rPr>
                <w:sz w:val="18"/>
              </w:rPr>
              <w:t>Immediate</w:t>
            </w:r>
          </w:p>
        </w:tc>
        <w:tc>
          <w:tcPr>
            <w:tcW w:type="dxa" w:w="3250"/>
          </w:tcPr>
          <w:p>
            <w:r>
              <w:rPr>
                <w:sz w:val="18"/>
              </w:rPr>
              <w:t>Make AI finding identity stable and report probable legacy duplicates.</w:t>
            </w:r>
          </w:p>
        </w:tc>
        <w:tc>
          <w:tcPr>
            <w:tcW w:type="dxa" w:w="3250"/>
          </w:tcPr>
          <w:p>
            <w:r>
              <w:rPr>
                <w:sz w:val="18"/>
              </w:rPr>
              <w:t>Repeated analysis can otherwise inflate accumulated evidence and ranking.</w:t>
            </w:r>
          </w:p>
        </w:tc>
      </w:tr>
      <w:tr>
        <w:tc>
          <w:tcPr>
            <w:tcW w:type="dxa" w:w="3250"/>
          </w:tcPr>
          <w:p>
            <w:r>
              <w:rPr>
                <w:sz w:val="18"/>
              </w:rPr>
              <w:t>Immediate</w:t>
            </w:r>
          </w:p>
        </w:tc>
        <w:tc>
          <w:tcPr>
            <w:tcW w:type="dxa" w:w="3250"/>
          </w:tcPr>
          <w:p>
            <w:r>
              <w:rPr>
                <w:sz w:val="18"/>
              </w:rPr>
              <w:t>Persist jobs and introduce a single scheduler/worker path.</w:t>
            </w:r>
          </w:p>
        </w:tc>
        <w:tc>
          <w:tcPr>
            <w:tcW w:type="dxa" w:w="3250"/>
          </w:tcPr>
          <w:p>
            <w:r>
              <w:rPr>
                <w:sz w:val="18"/>
              </w:rPr>
              <w:t>Provides restart recovery and duplicate-dispatch control.</w:t>
            </w:r>
          </w:p>
        </w:tc>
      </w:tr>
      <w:tr>
        <w:tc>
          <w:tcPr>
            <w:tcW w:type="dxa" w:w="3250"/>
          </w:tcPr>
          <w:p>
            <w:r>
              <w:rPr>
                <w:sz w:val="18"/>
              </w:rPr>
              <w:t>Next</w:t>
            </w:r>
          </w:p>
        </w:tc>
        <w:tc>
          <w:tcPr>
            <w:tcW w:type="dxa" w:w="3250"/>
          </w:tcPr>
          <w:p>
            <w:r>
              <w:rPr>
                <w:sz w:val="18"/>
              </w:rPr>
              <w:t>Version migrations, scoring, evidence dates, and source references.</w:t>
            </w:r>
          </w:p>
        </w:tc>
        <w:tc>
          <w:tcPr>
            <w:tcW w:type="dxa" w:w="3250"/>
          </w:tcPr>
          <w:p>
            <w:r>
              <w:rPr>
                <w:sz w:val="18"/>
              </w:rPr>
              <w:t>Makes releases and decisions reproducible.</w:t>
            </w:r>
          </w:p>
        </w:tc>
      </w:tr>
      <w:tr>
        <w:tc>
          <w:tcPr>
            <w:tcW w:type="dxa" w:w="3250"/>
          </w:tcPr>
          <w:p>
            <w:r>
              <w:rPr>
                <w:sz w:val="18"/>
              </w:rPr>
              <w:t>Then</w:t>
            </w:r>
          </w:p>
        </w:tc>
        <w:tc>
          <w:tcPr>
            <w:tcW w:type="dxa" w:w="3250"/>
          </w:tcPr>
          <w:p>
            <w:r>
              <w:rPr>
                <w:sz w:val="18"/>
              </w:rPr>
              <w:t>Add evaluated ranking, next actions, and commercial measurement.</w:t>
            </w:r>
          </w:p>
        </w:tc>
        <w:tc>
          <w:tcPr>
            <w:tcW w:type="dxa" w:w="3250"/>
          </w:tcPr>
          <w:p>
            <w:r>
              <w:rPr>
                <w:sz w:val="18"/>
              </w:rPr>
              <w:t>Turns dependable intelligence into a repeatable business workflow.</w:t>
            </w:r>
          </w:p>
        </w:tc>
      </w:tr>
    </w:tbl>
    <w:p>
      <w:pPr>
        <w:pStyle w:val="Heading2"/>
      </w:pPr>
      <w:r>
        <w:t>Suggested first two weeks</w:t>
      </w:r>
    </w:p>
    <w:p>
      <w:pPr>
        <w:pStyle w:val="ListBullet"/>
      </w:pPr>
      <w:r>
        <w:t>Days 1–2: agree the production target and access policy; capture reproducible tests/build/lint and a disposable database baseline; create regression tests for snapshot overwrite and repeated AI findings.</w:t>
      </w:r>
    </w:p>
    <w:p>
      <w:pPr>
        <w:pStyle w:val="ListBullet"/>
      </w:pPr>
      <w:r>
        <w:t>Days 3–5: deliver snapshot preservation, explicit production-auth checks, and correct readiness behaviour in small reviewable changes.</w:t>
      </w:r>
    </w:p>
    <w:p>
      <w:pPr>
        <w:pStyle w:val="ListBullet"/>
      </w:pPr>
      <w:r>
        <w:t>Days 6–8: implement stable AI evidence identity for new findings, produce a non-destructive legacy duplicate report, and review its highest-impact cases. This is the narrow data-integrity slice of Phase 2 brought forward.</w:t>
      </w:r>
    </w:p>
    <w:p>
      <w:pPr>
        <w:pStyle w:val="ListBullet"/>
      </w:pPr>
      <w:r>
        <w:t>Days 9–10: implement the first persisted job path and rehearse restart recovery. Completing all Phase 1 job paths, migrations, and recovery checks will likely require more than this initial slice.</w:t>
      </w:r>
    </w:p>
    <w:p>
      <w:pPr>
        <w:pStyle w:val="Heading2"/>
      </w:pPr>
      <w:r>
        <w:t>Before implementation is accepted</w:t>
      </w:r>
    </w:p>
    <w:p>
      <w:r>
        <w:t>Confirm deployment target, user count, access model, opportunity definition, provider budget, expected data freshness, and recovery tolerance. Use these decisions to refine the estimates; do not let optional CRM or broader crawling work delay integrity fixes.</w:t>
      </w:r>
    </w:p>
    <w:p>
      <w:pPr>
        <w:pStyle w:val="Heading2"/>
      </w:pPr>
      <w:r>
        <w:t>Testing and build gotchas</w:t>
      </w:r>
    </w:p>
    <w:p>
      <w:r>
        <w:t>The API serves frontend/dist, so rebuild the frontend before testing through FastAPI; Vite development behaviour alone does not prove the packaged build works. Local Python and Node differ from Docker, and PostgreSQL integration tests need a disposable configured database. This repository review found a web/Docker application, not an .exe delivery flow; if an .exe wrapper is used separately, rebuild that executable before testing it.</w:t>
      </w:r>
    </w:p>
    <w:p>
      <w:r>
        <w:br w:type="page"/>
      </w:r>
    </w:p>
    <w:p>
      <w:pPr>
        <w:pStyle w:val="Heading1"/>
      </w:pPr>
      <w:r>
        <w:t>Evidence register and verification notes</w:t>
      </w:r>
    </w:p>
    <w:p>
      <w:r>
        <w:t>References below are repository-relative paths and symbols observed in this checkout. Line numbers may move with later edits. They support the proposed priorities; they are not claims of demonstrated production failure.</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rPr>
                <w:sz w:val="18"/>
              </w:rPr>
              <w:t>Observed code</w:t>
            </w:r>
          </w:p>
        </w:tc>
        <w:tc>
          <w:tcPr>
            <w:tcW w:type="dxa" w:w="3250"/>
          </w:tcPr>
          <w:p>
            <w:r>
              <w:rPr>
                <w:sz w:val="18"/>
              </w:rPr>
              <w:t>Finding</w:t>
            </w:r>
          </w:p>
        </w:tc>
        <w:tc>
          <w:tcPr>
            <w:tcW w:type="dxa" w:w="3250"/>
          </w:tcPr>
          <w:p>
            <w:r>
              <w:rPr>
                <w:sz w:val="18"/>
              </w:rPr>
              <w:t>Phase</w:t>
            </w:r>
          </w:p>
        </w:tc>
      </w:tr>
      <w:tr>
        <w:tc>
          <w:tcPr>
            <w:tcW w:type="dxa" w:w="3250"/>
          </w:tcPr>
          <w:p>
            <w:r>
              <w:rPr>
                <w:sz w:val="18"/>
              </w:rPr>
              <w:t>api.py: _enrich_progress, _refresh_progress, _deep_analysis_jobs, _contact_progress; lifespan</w:t>
            </w:r>
          </w:p>
        </w:tc>
        <w:tc>
          <w:tcPr>
            <w:tcW w:type="dxa" w:w="3250"/>
          </w:tcPr>
          <w:p>
            <w:r>
              <w:rPr>
                <w:sz w:val="18"/>
              </w:rPr>
              <w:t>Progress is in memory; scheduler is created in application lifespan.</w:t>
            </w:r>
          </w:p>
        </w:tc>
        <w:tc>
          <w:tcPr>
            <w:tcW w:type="dxa" w:w="3250"/>
          </w:tcPr>
          <w:p>
            <w:r>
              <w:rPr>
                <w:sz w:val="18"/>
              </w:rPr>
              <w:t>1</w:t>
            </w:r>
          </w:p>
        </w:tc>
      </w:tr>
      <w:tr>
        <w:tc>
          <w:tcPr>
            <w:tcW w:type="dxa" w:w="3250"/>
          </w:tcPr>
          <w:p>
            <w:r>
              <w:rPr>
                <w:sz w:val="18"/>
              </w:rPr>
              <w:t>api.py: lifespan, approximately lines 194–257</w:t>
            </w:r>
          </w:p>
        </w:tc>
        <w:tc>
          <w:tcPr>
            <w:tcW w:type="dxa" w:w="3250"/>
          </w:tcPr>
          <w:p>
            <w:r>
              <w:rPr>
                <w:sz w:val="18"/>
              </w:rPr>
              <w:t>Executes schema.sql and upserts snapshot content with enriched_at = NOW() on startup.</w:t>
            </w:r>
          </w:p>
        </w:tc>
        <w:tc>
          <w:tcPr>
            <w:tcW w:type="dxa" w:w="3250"/>
          </w:tcPr>
          <w:p>
            <w:r>
              <w:rPr>
                <w:sz w:val="18"/>
              </w:rPr>
              <w:t>1</w:t>
            </w:r>
          </w:p>
        </w:tc>
      </w:tr>
      <w:tr>
        <w:tc>
          <w:tcPr>
            <w:tcW w:type="dxa" w:w="3250"/>
          </w:tcPr>
          <w:p>
            <w:r>
              <w:rPr>
                <w:sz w:val="18"/>
              </w:rPr>
              <w:t>api.py: check_auth and middleware, approximately lines 355–394</w:t>
            </w:r>
          </w:p>
        </w:tc>
        <w:tc>
          <w:tcPr>
            <w:tcW w:type="dxa" w:w="3250"/>
          </w:tcPr>
          <w:p>
            <w:r>
              <w:rPr>
                <w:sz w:val="18"/>
              </w:rPr>
              <w:t>Authentication is bypassed if either configured credential is absent.</w:t>
            </w:r>
          </w:p>
        </w:tc>
        <w:tc>
          <w:tcPr>
            <w:tcW w:type="dxa" w:w="3250"/>
          </w:tcPr>
          <w:p>
            <w:r>
              <w:rPr>
                <w:sz w:val="18"/>
              </w:rPr>
              <w:t>1</w:t>
            </w:r>
          </w:p>
        </w:tc>
      </w:tr>
      <w:tr>
        <w:tc>
          <w:tcPr>
            <w:tcW w:type="dxa" w:w="3250"/>
          </w:tcPr>
          <w:p>
            <w:r>
              <w:rPr>
                <w:sz w:val="18"/>
              </w:rPr>
              <w:t>api.py: health_check, approximately lines 2730–2741</w:t>
            </w:r>
          </w:p>
        </w:tc>
        <w:tc>
          <w:tcPr>
            <w:tcW w:type="dxa" w:w="3250"/>
          </w:tcPr>
          <w:p>
            <w:r>
              <w:rPr>
                <w:sz w:val="18"/>
              </w:rPr>
              <w:t>Handled query failures return a JSON error with default success status; get_conn is outside the try block.</w:t>
            </w:r>
          </w:p>
        </w:tc>
        <w:tc>
          <w:tcPr>
            <w:tcW w:type="dxa" w:w="3250"/>
          </w:tcPr>
          <w:p>
            <w:r>
              <w:rPr>
                <w:sz w:val="18"/>
              </w:rPr>
              <w:t>1</w:t>
            </w:r>
          </w:p>
        </w:tc>
      </w:tr>
      <w:tr>
        <w:tc>
          <w:tcPr>
            <w:tcW w:type="dxa" w:w="3250"/>
          </w:tcPr>
          <w:p>
            <w:r>
              <w:rPr>
                <w:sz w:val="18"/>
              </w:rPr>
              <w:t>api.py: _store_deep_analysis_result, approximately lines 2114–2165</w:t>
            </w:r>
          </w:p>
        </w:tc>
        <w:tc>
          <w:tcPr>
            <w:tcW w:type="dxa" w:w="3250"/>
          </w:tcPr>
          <w:p>
            <w:r>
              <w:rPr>
                <w:sz w:val="18"/>
              </w:rPr>
              <w:t>AI source key incorporates current time; it is not stable evidence identity. AI reasoning is stored in extracted_quote.</w:t>
            </w:r>
          </w:p>
        </w:tc>
        <w:tc>
          <w:tcPr>
            <w:tcW w:type="dxa" w:w="3250"/>
          </w:tcPr>
          <w:p>
            <w:r>
              <w:rPr>
                <w:sz w:val="18"/>
              </w:rPr>
              <w:t>2, 3</w:t>
            </w:r>
          </w:p>
        </w:tc>
      </w:tr>
      <w:tr>
        <w:tc>
          <w:tcPr>
            <w:tcW w:type="dxa" w:w="3250"/>
          </w:tcPr>
          <w:p>
            <w:r>
              <w:rPr>
                <w:sz w:val="18"/>
              </w:rPr>
              <w:t>enrichment_agent.py: detect_signals, save_results; schema.sql: calculate_prospect_score</w:t>
            </w:r>
          </w:p>
        </w:tc>
        <w:tc>
          <w:tcPr>
            <w:tcW w:type="dxa" w:w="3250"/>
          </w:tcPr>
          <w:p>
            <w:r>
              <w:rPr>
                <w:sz w:val="18"/>
              </w:rPr>
              <w:t>New rule detections have a lookback; SQL scoring sums all valid persisted signals without age filtering.</w:t>
            </w:r>
          </w:p>
        </w:tc>
        <w:tc>
          <w:tcPr>
            <w:tcW w:type="dxa" w:w="3250"/>
          </w:tcPr>
          <w:p>
            <w:r>
              <w:rPr>
                <w:sz w:val="18"/>
              </w:rPr>
              <w:t>2, 3</w:t>
            </w:r>
          </w:p>
        </w:tc>
      </w:tr>
      <w:tr>
        <w:tc>
          <w:tcPr>
            <w:tcW w:type="dxa" w:w="3250"/>
          </w:tcPr>
          <w:p>
            <w:r>
              <w:rPr>
                <w:sz w:val="18"/>
              </w:rPr>
              <w:t>enrichment_agent.py: generate_profile, save_results; schema.sql: calculate_lead_tier</w:t>
            </w:r>
          </w:p>
        </w:tc>
        <w:tc>
          <w:tcPr>
            <w:tcW w:type="dxa" w:w="3250"/>
          </w:tcPr>
          <w:p>
            <w:r>
              <w:rPr>
                <w:sz w:val="18"/>
              </w:rPr>
              <w:t>Likelihood depends on signal volume/strength; current-batch tier calculation and persisted score inputs differ.</w:t>
            </w:r>
          </w:p>
        </w:tc>
        <w:tc>
          <w:tcPr>
            <w:tcW w:type="dxa" w:w="3250"/>
          </w:tcPr>
          <w:p>
            <w:r>
              <w:rPr>
                <w:sz w:val="18"/>
              </w:rPr>
              <w:t>3</w:t>
            </w:r>
          </w:p>
        </w:tc>
      </w:tr>
      <w:tr>
        <w:tc>
          <w:tcPr>
            <w:tcW w:type="dxa" w:w="3250"/>
          </w:tcPr>
          <w:p>
            <w:r>
              <w:rPr>
                <w:sz w:val="18"/>
              </w:rPr>
              <w:t>v3_intelligence.py: collect_full_documents, run_full_document_analysis</w:t>
            </w:r>
          </w:p>
        </w:tc>
        <w:tc>
          <w:tcPr>
            <w:tcW w:type="dxa" w:w="3250"/>
          </w:tcPr>
          <w:p>
            <w:r>
              <w:rPr>
                <w:sz w:val="18"/>
              </w:rPr>
              <w:t>Document storage/hash support already exists; AI response is JSON-parsed, with tokens and model metadata captured.</w:t>
            </w:r>
          </w:p>
        </w:tc>
        <w:tc>
          <w:tcPr>
            <w:tcW w:type="dxa" w:w="3250"/>
          </w:tcPr>
          <w:p>
            <w:r>
              <w:rPr>
                <w:sz w:val="18"/>
              </w:rPr>
              <w:t>2, 3</w:t>
            </w:r>
          </w:p>
        </w:tc>
      </w:tr>
      <w:tr>
        <w:tc>
          <w:tcPr>
            <w:tcW w:type="dxa" w:w="3250"/>
          </w:tcPr>
          <w:p>
            <w:r>
              <w:rPr>
                <w:sz w:val="18"/>
              </w:rPr>
              <w:t>prize_calculator.py: module description and SIGNAL_VALUE_RULES</w:t>
            </w:r>
          </w:p>
        </w:tc>
        <w:tc>
          <w:tcPr>
            <w:tcW w:type="dxa" w:w="3250"/>
          </w:tcPr>
          <w:p>
            <w:r>
              <w:rPr>
                <w:sz w:val="18"/>
              </w:rPr>
              <w:t>Opportunity values are directional keyword heuristics; units and assumptions need explicit presentation.</w:t>
            </w:r>
          </w:p>
        </w:tc>
        <w:tc>
          <w:tcPr>
            <w:tcW w:type="dxa" w:w="3250"/>
          </w:tcPr>
          <w:p>
            <w:r>
              <w:rPr>
                <w:sz w:val="18"/>
              </w:rPr>
              <w:t>3</w:t>
            </w:r>
          </w:p>
        </w:tc>
      </w:tr>
      <w:tr>
        <w:tc>
          <w:tcPr>
            <w:tcW w:type="dxa" w:w="3250"/>
          </w:tcPr>
          <w:p>
            <w:r>
              <w:rPr>
                <w:sz w:val="18"/>
              </w:rPr>
              <w:t>contact_enrichment.py: public_website_contacts; schema.sql: prospect_contacts</w:t>
            </w:r>
          </w:p>
        </w:tc>
        <w:tc>
          <w:tcPr>
            <w:tcW w:type="dxa" w:w="3250"/>
          </w:tcPr>
          <w:p>
            <w:r>
              <w:rPr>
                <w:sz w:val="18"/>
              </w:rPr>
              <w:t>Public fetches follow redirects; contact status and last-verification fields already exist.</w:t>
            </w:r>
          </w:p>
        </w:tc>
        <w:tc>
          <w:tcPr>
            <w:tcW w:type="dxa" w:w="3250"/>
          </w:tcPr>
          <w:p>
            <w:r>
              <w:rPr>
                <w:sz w:val="18"/>
              </w:rPr>
              <w:t>2, 4</w:t>
            </w:r>
          </w:p>
        </w:tc>
      </w:tr>
      <w:tr>
        <w:tc>
          <w:tcPr>
            <w:tcW w:type="dxa" w:w="3250"/>
          </w:tcPr>
          <w:p>
            <w:r>
              <w:rPr>
                <w:sz w:val="18"/>
              </w:rPr>
              <w:t>frontend/src/App.jsx; pages/Watchlist.jsx; pages/LeadMatrix.jsx</w:t>
            </w:r>
          </w:p>
        </w:tc>
        <w:tc>
          <w:tcPr>
            <w:tcW w:type="dxa" w:w="3250"/>
          </w:tcPr>
          <w:p>
            <w:r>
              <w:rPr>
                <w:sz w:val="18"/>
              </w:rPr>
              <w:t>Watchlist reuses LeadMatrix; legacy company-detail redirect drops the ID.</w:t>
            </w:r>
          </w:p>
        </w:tc>
        <w:tc>
          <w:tcPr>
            <w:tcW w:type="dxa" w:w="3250"/>
          </w:tcPr>
          <w:p>
            <w:r>
              <w:rPr>
                <w:sz w:val="18"/>
              </w:rPr>
              <w:t>4</w:t>
            </w:r>
          </w:p>
        </w:tc>
      </w:tr>
      <w:tr>
        <w:tc>
          <w:tcPr>
            <w:tcW w:type="dxa" w:w="3250"/>
          </w:tcPr>
          <w:p>
            <w:r>
              <w:rPr>
                <w:sz w:val="18"/>
              </w:rPr>
              <w:t>frontend/package.json; Dockerfile; requirements.txt; repository root</w:t>
            </w:r>
          </w:p>
        </w:tc>
        <w:tc>
          <w:tcPr>
            <w:tcW w:type="dxa" w:w="3250"/>
          </w:tcPr>
          <w:p>
            <w:r>
              <w:rPr>
                <w:sz w:val="18"/>
              </w:rPr>
              <w:t>Frontend has build/lint scripts but no test script; no .github CI directory was found. Python dependency pins exist.</w:t>
            </w:r>
          </w:p>
        </w:tc>
        <w:tc>
          <w:tcPr>
            <w:tcW w:type="dxa" w:w="3250"/>
          </w:tcPr>
          <w:p>
            <w:r>
              <w:rPr>
                <w:sz w:val="18"/>
              </w:rPr>
              <w:t>1, 5</w:t>
            </w:r>
          </w:p>
        </w:tc>
      </w:tr>
    </w:tbl>
    <w:p>
      <w:pPr>
        <w:pStyle w:val="Heading2"/>
      </w:pPr>
      <w:r>
        <w:t>Verification note</w:t>
      </w:r>
    </w:p>
    <w:p>
      <w:r>
        <w:t>Backend: 15 focused tests passed in the project virtual environment. Frontend: production build passed; ESLint reported 0 errors and 6 React-hook dependency warnings. These warnings concern effect dependencies in DeepIntelligence.jsx, LeadMatrix.jsx, and the legacy ProspectDetail.jsx. Database, browser, live-provider, and deployment checks were not run.</w:t>
      </w:r>
    </w:p>
    <w:sectPr w:rsidR="00FC693F" w:rsidRPr="0006063C" w:rsidSect="00034616">
      <w:headerReference w:type="default" r:id="rId9"/>
      <w:footerReference w:type="default" r:id="rId10"/>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24 October 2026  •  Roadmap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NEW DELTA  |  PROSPECT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3B5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3B5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53B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53B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Delta Prospect System — Five-phase improvement roadmap</dc:title>
  <dc:subject>Evidence-based technical and product improvement plan</dc:subject>
  <dc:creator>Devin</dc:creator>
  <cp:keywords>Delta Prospect, roadmap, data quality, reliability, intelligence</cp:keywords>
  <dc:description>generated by python-docx</dc:description>
  <cp:lastModifiedBy/>
  <cp:revision>1</cp:revision>
  <dcterms:created xsi:type="dcterms:W3CDTF">2013-12-23T23:15:00Z</dcterms:created>
  <dcterms:modified xsi:type="dcterms:W3CDTF">2013-12-23T23:15:00Z</dcterms:modified>
  <cp:category/>
</cp:coreProperties>
</file>