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Cambria" w:cs="Cambria" w:eastAsia="Cambria" w:hAnsi="Cambria"/>
          <w:b/>
          <w:bCs/>
          <w:color w:val="1F3864"/>
          <w:sz w:val="44"/>
          <w:szCs w:val="44"/>
        </w:rPr>
        <w:t xml:space="preserve">EKF Noise Covariance Tuning for BMS SOC Estimation</w:t>
      </w:r>
    </w:p>
    <w:p>
      <w:pPr>
        <w:pBdr>
          <w:bottom w:val="single" w:color="2E5496" w:sz="6" w:space="6"/>
        </w:pBdr>
        <w:spacing w:after="400"/>
        <w:jc w:val="center"/>
      </w:pPr>
      <w:r>
        <w:rPr>
          <w:rFonts w:ascii="Cambria" w:cs="Cambria" w:eastAsia="Cambria" w:hAnsi="Cambria"/>
          <w:i/>
          <w:iCs/>
          <w:color w:val="595959"/>
          <w:sz w:val="24"/>
          <w:szCs w:val="24"/>
        </w:rPr>
        <w:t xml:space="preserve">Typical values for σ_v² (SigmaV) and σ_w² (SigmaW) in deployed battery management systems</w:t>
      </w:r>
    </w:p>
    <w:p>
      <w:pPr>
        <w:pStyle w:val="Heading1"/>
        <w:spacing w:after="240" w:before="480"/>
      </w:pPr>
      <w:r>
        <w:rPr>
          <w:rFonts w:ascii="Cambria" w:cs="Cambria" w:eastAsia="Cambria" w:hAnsi="Cambria"/>
          <w:b/>
          <w:bCs/>
          <w:color w:val="1F3864"/>
          <w:sz w:val="36"/>
          <w:szCs w:val="36"/>
        </w:rPr>
        <w:t xml:space="preserve">1. Overview</w:t>
      </w:r>
    </w:p>
    <w:p>
      <w:pPr>
        <w:spacing w:after="160" w:before="0"/>
      </w:pPr>
      <w:r>
        <w:rPr>
          <w:rFonts w:ascii="Cambria" w:cs="Cambria" w:eastAsia="Cambria" w:hAnsi="Cambria"/>
          <w:sz w:val="24"/>
          <w:szCs w:val="24"/>
        </w:rPr>
        <w:t xml:space="preserve">There is no single universal answer for EKF noise tuning values — they are hardware- and model-dependent. The values must reflect two distinct sources of uncertainty:</w:t>
      </w:r>
    </w:p>
    <w:p>
      <w:pPr>
        <w:spacing w:after="100" w:before="0"/>
        <w:ind w:left="720" w:hanging="360"/>
      </w:pPr>
      <w:r>
        <w:rPr>
          <w:rFonts w:ascii="Cambria" w:cs="Cambria" w:eastAsia="Cambria" w:hAnsi="Cambria"/>
          <w:sz w:val="24"/>
          <w:szCs w:val="24"/>
        </w:rPr>
        <w:t xml:space="preserve">•  σ_v² (SigmaV): Variance of the voltage measurement, capturing both ADC hardware noise and unmodelled cell dynamics.</w:t>
      </w:r>
    </w:p>
    <w:p>
      <w:pPr>
        <w:spacing w:after="100" w:before="0"/>
        <w:ind w:left="720" w:hanging="360"/>
      </w:pPr>
      <w:r>
        <w:rPr>
          <w:rFonts w:ascii="Cambria" w:cs="Cambria" w:eastAsia="Cambria" w:hAnsi="Cambria"/>
          <w:sz w:val="24"/>
          <w:szCs w:val="24"/>
        </w:rPr>
        <w:t xml:space="preserve">•  σ_w² (SigmaW): Variance of the current measurement (process noise), capturing both current sensor noise and model inadequacy.</w:t>
      </w:r>
    </w:p>
    <w:p>
      <w:pPr>
        <w:spacing w:after="100" w:before="0"/>
        <w:ind w:left="720" w:hanging="360"/>
      </w:pPr>
      <w:r>
        <w:rPr>
          <w:rFonts w:ascii="Cambria" w:cs="Cambria" w:eastAsia="Cambria" w:hAnsi="Cambria"/>
          <w:sz w:val="24"/>
          <w:szCs w:val="24"/>
        </w:rPr>
        <w:t xml:space="preserve">•  Σ_x0 (SigmaX0): Initial state covariance, reflecting how well the initial state is known.</w:t>
      </w:r>
    </w:p>
    <w:p>
      <w:pPr>
        <w:spacing w:after="160" w:before="0"/>
      </w:pPr>
      <w:r>
        <w:rPr>
          <w:rFonts w:ascii="Cambria" w:cs="Cambria" w:eastAsia="Cambria" w:hAnsi="Cambria"/>
          <w:sz w:val="24"/>
          <w:szCs w:val="24"/>
        </w:rPr>
        <w:t xml:space="preserve">The ratio σ_w² / σ_v² governs the steady-state Kalman gain more than the absolute magnitudes: a high ratio causes the filter to weight voltage measurements more aggressively; a low ratio causes it to trust Coulomb counting (the model) more.</w:t>
      </w:r>
    </w:p>
    <w:p>
      <w:pPr>
        <w:pStyle w:val="Heading1"/>
        <w:spacing w:after="240" w:before="480"/>
      </w:pPr>
      <w:r>
        <w:rPr>
          <w:rFonts w:ascii="Cambria" w:cs="Cambria" w:eastAsia="Cambria" w:hAnsi="Cambria"/>
          <w:b/>
          <w:bCs/>
          <w:color w:val="1F3864"/>
          <w:sz w:val="36"/>
          <w:szCs w:val="36"/>
        </w:rPr>
        <w:t xml:space="preserve">2. Voltage Measurement Noise σ_v² (SigmaV)</w:t>
      </w:r>
    </w:p>
    <w:p>
      <w:pPr>
        <w:spacing w:after="160" w:before="0"/>
      </w:pPr>
      <w:r>
        <w:rPr>
          <w:rFonts w:ascii="Cambria" w:cs="Cambria" w:eastAsia="Cambria" w:hAnsi="Cambria"/>
          <w:sz w:val="24"/>
          <w:szCs w:val="24"/>
        </w:rPr>
        <w:t xml:space="preserve">This parameter should reflect the total end-to-end voltage uncertainty, not just ADC quantisation. The three main contributors are:</w:t>
      </w:r>
    </w:p>
    <w:p>
      <w:pPr>
        <w:pStyle w:val="Heading2"/>
        <w:spacing w:after="180" w:before="320"/>
      </w:pPr>
      <w:r>
        <w:rPr>
          <w:rFonts w:ascii="Cambria" w:cs="Cambria" w:eastAsia="Cambria" w:hAnsi="Cambria"/>
          <w:b/>
          <w:bCs/>
          <w:color w:val="2E5496"/>
          <w:sz w:val="30"/>
          <w:szCs w:val="30"/>
        </w:rPr>
        <w:t xml:space="preserve">2.1  ADC quantisation</w:t>
      </w:r>
    </w:p>
    <w:p>
      <w:pPr>
        <w:spacing w:after="160" w:before="0"/>
      </w:pPr>
      <w:r>
        <w:rPr>
          <w:rFonts w:ascii="Cambria" w:cs="Cambria" w:eastAsia="Cambria" w:hAnsi="Cambria"/>
          <w:sz w:val="24"/>
          <w:szCs w:val="24"/>
        </w:rPr>
        <w:t xml:space="preserve">High-end BMS analog front-end (AFE) chips typically use 16-bit ADCs. The LTC6804/LTC6813 family, widely used in automotive packs, achieves a maximum error of 0.033% with 16-bit resolution. For a 5 V cell voltage range this gives approximately 1.6 mV quantisation step. Lower-cost 12-bit ADCs give ~1.2 mV LSB over the same range.</w:t>
      </w:r>
    </w:p>
    <w:p>
      <w:pPr>
        <w:spacing w:after="160" w:before="0"/>
      </w:pPr>
      <w:r>
        <w:rPr>
          <w:rFonts w:ascii="Cambria" w:cs="Cambria" w:eastAsia="Cambria" w:hAnsi="Cambria"/>
          <w:sz w:val="24"/>
          <w:szCs w:val="24"/>
        </w:rPr>
        <w:t xml:space="preserve">However, ADC accuracy is always significantly worse than its resolution. Reference drift, gain error, and thermal noise mean that even with calibration it is difficult to achieve better than ~13 effective bits of accuracy over the automotive temperature range (−40°C to +105°C). In practice, hardware-only σ_v is in the range 1–10 mV.</w:t>
      </w:r>
    </w:p>
    <w:p>
      <w:pPr>
        <w:pStyle w:val="Heading2"/>
        <w:spacing w:after="180" w:before="320"/>
      </w:pPr>
      <w:r>
        <w:rPr>
          <w:rFonts w:ascii="Cambria" w:cs="Cambria" w:eastAsia="Cambria" w:hAnsi="Cambria"/>
          <w:b/>
          <w:bCs/>
          <w:color w:val="2E5496"/>
          <w:sz w:val="30"/>
          <w:szCs w:val="30"/>
        </w:rPr>
        <w:t xml:space="preserve">2.2  Model error (dominant contributor)</w:t>
      </w:r>
    </w:p>
    <w:p>
      <w:pPr>
        <w:spacing w:after="160" w:before="0"/>
      </w:pPr>
      <w:r>
        <w:rPr>
          <w:rFonts w:ascii="Cambria" w:cs="Cambria" w:eastAsia="Cambria" w:hAnsi="Cambria"/>
          <w:sz w:val="24"/>
          <w:szCs w:val="24"/>
        </w:rPr>
        <w:t xml:space="preserve">The largest contributor to σ_v² in a deployed BMS is not the sensor hardware — it is unmodelled cell dynamics: temperature gradients across the cell, parameter drift with ageing, electrolyte relaxation not captured by the 2RC topology, and manufacturing spread. For a well-characterised 2RC model at 25°C, voltage fit errors of 1–5 mV RMS are achievable. At temperature extremes or for aged cells this can rise to 20–50 mV.</w:t>
      </w:r>
    </w:p>
    <w:p>
      <w:pPr>
        <w:pStyle w:val="Heading2"/>
        <w:spacing w:after="180" w:before="320"/>
      </w:pPr>
      <w:r>
        <w:rPr>
          <w:rFonts w:ascii="Cambria" w:cs="Cambria" w:eastAsia="Cambria" w:hAnsi="Cambria"/>
          <w:b/>
          <w:bCs/>
          <w:color w:val="2E5496"/>
          <w:sz w:val="30"/>
          <w:szCs w:val="30"/>
        </w:rPr>
        <w:t xml:space="preserve">2.3  Typical published values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500"/>
        <w:gridCol w:w="2000"/>
        <w:gridCol w:w="2860"/>
      </w:tblGrid>
      <w:tr>
        <w:tc>
          <w:tcPr>
            <w:tcW w:type="dxa" w:w="30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Context</w:t>
            </w:r>
          </w:p>
        </w:tc>
        <w:tc>
          <w:tcPr>
            <w:tcW w:type="dxa" w:w="15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σ_v (mV)</w:t>
            </w:r>
          </w:p>
        </w:tc>
        <w:tc>
          <w:tcPr>
            <w:tcW w:type="dxa" w:w="20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σ_v² (V²)</w:t>
            </w:r>
          </w:p>
        </w:tc>
        <w:tc>
          <w:tcPr>
            <w:tcW w:type="dxa" w:w="286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Notes</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Lab cycler hardware floor (BaSyTec CTS)</w:t>
            </w:r>
          </w:p>
        </w:tc>
        <w:tc>
          <w:tcPr>
            <w:tcW w:type="dxa" w:w="1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1×10⁻⁶</w:t>
            </w:r>
          </w:p>
        </w:tc>
        <w:tc>
          <w:tcPr>
            <w:tcW w:type="dxa" w:w="2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Pure ADC + measurement rig</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Well-tuned production EKF, NMC cell</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5–10</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2.5×10⁻⁵ – 1×10⁻⁴</w:t>
            </w:r>
          </w:p>
        </w:tc>
        <w:tc>
          <w:tcPr>
            <w:tcW w:type="dxa" w:w="28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Good 2RC model fit at 25°C</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Conservative automotive EKF</w:t>
            </w:r>
          </w:p>
        </w:tc>
        <w:tc>
          <w:tcPr>
            <w:tcW w:type="dxa" w:w="1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10–30</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1×10⁻⁴ – 9×10⁻⁴</w:t>
            </w:r>
          </w:p>
        </w:tc>
        <w:tc>
          <w:tcPr>
            <w:tcW w:type="dxa" w:w="2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Accounts for temperature and ageing</w:t>
            </w:r>
          </w:p>
        </w:tc>
      </w:tr>
      <w:tr>
        <w:tc>
          <w:tcPr>
            <w:tcW w:type="dxa" w:w="3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Plett textbook starting value</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~14</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~2×10⁻⁴</w:t>
            </w:r>
          </w:p>
        </w:tc>
        <w:tc>
          <w:tcPr>
            <w:tcW w:type="dxa" w:w="28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Commonly cited in literature</w:t>
            </w:r>
          </w:p>
        </w:tc>
      </w:tr>
      <w:tr>
        <w:tc>
          <w:tcPr>
            <w:tcW w:type="dxa" w:w="3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Your code: SigmaV = 2e-1</w:t>
            </w:r>
          </w:p>
        </w:tc>
        <w:tc>
          <w:tcPr>
            <w:tcW w:type="dxa" w:w="1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~447</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0.2</w:t>
            </w:r>
          </w:p>
        </w:tc>
        <w:tc>
          <w:tcPr>
            <w:tcW w:type="dxa" w:w="2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Deliberately very large (see note below)</w:t>
            </w:r>
          </w:p>
        </w:tc>
      </w:tr>
    </w:tbl>
    <w:p>
      <w:pPr>
        <w:spacing w:after="200"/>
      </w:pPr>
    </w:p>
    <w:p>
      <w:pPr>
        <w:spacing w:after="160" w:before="0"/>
        <w:ind w:left="720"/>
      </w:pPr>
      <w:r>
        <w:rPr>
          <w:rFonts w:ascii="Cambria" w:cs="Cambria" w:eastAsia="Cambria" w:hAnsi="Cambria"/>
          <w:i/>
          <w:iCs/>
          <w:color w:val="7F6000"/>
          <w:sz w:val="22"/>
          <w:szCs w:val="22"/>
        </w:rPr>
        <w:t xml:space="preserve">⚠  Note on SigmaV = 2e-1 in the code: This implies σ_v ≈ 447 mV, far above any realistic sensor noise. This is intentional — the code deliberately offsets the initial SOC by −30% (SOC0 = SOC0 - 0.3) to test convergence from a wrong initial condition. A large SigmaV tells the filter to trust the model (Coulomb counting) more than the voltage sensor during the convergence transient, preventing the filter from being violently pulled toward the wrong OCV-implied SOC. Once the estimate has converged, SigmaV should be reduced to physically realistic values (1e-4 to 1e-3 V²).</w:t>
      </w:r>
    </w:p>
    <w:p>
      <w:pPr>
        <w:pStyle w:val="Heading1"/>
        <w:spacing w:after="240" w:before="480"/>
      </w:pPr>
      <w:r>
        <w:rPr>
          <w:rFonts w:ascii="Cambria" w:cs="Cambria" w:eastAsia="Cambria" w:hAnsi="Cambria"/>
          <w:b/>
          <w:bCs/>
          <w:color w:val="1F3864"/>
          <w:sz w:val="36"/>
          <w:szCs w:val="36"/>
        </w:rPr>
        <w:t xml:space="preserve">3. Current Measurement / Process Noise σ_w² (SigmaW)</w:t>
      </w:r>
    </w:p>
    <w:p>
      <w:pPr>
        <w:spacing w:after="160" w:before="0"/>
      </w:pPr>
      <w:r>
        <w:rPr>
          <w:rFonts w:ascii="Cambria" w:cs="Cambria" w:eastAsia="Cambria" w:hAnsi="Cambria"/>
          <w:sz w:val="24"/>
          <w:szCs w:val="24"/>
        </w:rPr>
        <w:t xml:space="preserve">SigmaW in the implementation maps current sensor noise through B̂ into state uncertainty. Its physical unit is A² (variance of the current measurement in Amperes). It also absorbs unmodelled process dynamics.</w:t>
      </w:r>
    </w:p>
    <w:p>
      <w:pPr>
        <w:pStyle w:val="Heading2"/>
        <w:spacing w:after="180" w:before="320"/>
      </w:pPr>
      <w:r>
        <w:rPr>
          <w:rFonts w:ascii="Cambria" w:cs="Cambria" w:eastAsia="Cambria" w:hAnsi="Cambria"/>
          <w:b/>
          <w:bCs/>
          <w:color w:val="2E5496"/>
          <w:sz w:val="30"/>
          <w:szCs w:val="30"/>
        </w:rPr>
        <w:t xml:space="preserve">3.1  Hardware accuracy</w:t>
      </w:r>
    </w:p>
    <w:p>
      <w:pPr>
        <w:spacing w:after="160" w:before="0"/>
      </w:pPr>
      <w:r>
        <w:rPr>
          <w:rFonts w:ascii="Cambria" w:cs="Cambria" w:eastAsia="Cambria" w:hAnsi="Cambria"/>
          <w:sz w:val="24"/>
          <w:szCs w:val="24"/>
        </w:rPr>
        <w:t xml:space="preserve">Automotive BMS current sensing uses one of two approaches:</w:t>
      </w:r>
    </w:p>
    <w:p>
      <w:pPr>
        <w:spacing w:after="100" w:before="0"/>
        <w:ind w:left="720" w:hanging="360"/>
      </w:pPr>
      <w:r>
        <w:rPr>
          <w:rFonts w:ascii="Cambria" w:cs="Cambria" w:eastAsia="Cambria" w:hAnsi="Cambria"/>
          <w:sz w:val="24"/>
          <w:szCs w:val="24"/>
        </w:rPr>
        <w:t xml:space="preserve">•  Shunt resistor + high-resolution ADC: High-precision ΔΣ ADCs with 24-bit resolution are used because the shunt voltage drop is very small. After temperature compensation, accuracy is typically 0.1–0.5% of full scale. For a 100 A sensor this gives σ_w ≈ 0.1–0.5 A.</w:t>
      </w:r>
    </w:p>
    <w:p>
      <w:pPr>
        <w:spacing w:after="100" w:before="0"/>
        <w:ind w:left="720" w:hanging="360"/>
      </w:pPr>
      <w:r>
        <w:rPr>
          <w:rFonts w:ascii="Cambria" w:cs="Cambria" w:eastAsia="Cambria" w:hAnsi="Cambria"/>
          <w:sz w:val="24"/>
          <w:szCs w:val="24"/>
        </w:rPr>
        <w:t xml:space="preserve">•  Hall-effect sensor: Non-intrusive, suited for high-current packs (200–500 A). Lower accuracy at 0.5–2%, so σ_w ≈ 1–10 A depending on scale. Safety-critical systems sometimes use both types redundantly.</w:t>
      </w:r>
    </w:p>
    <w:p>
      <w:pPr>
        <w:pStyle w:val="Heading2"/>
        <w:spacing w:after="180" w:before="320"/>
      </w:pPr>
      <w:r>
        <w:rPr>
          <w:rFonts w:ascii="Cambria" w:cs="Cambria" w:eastAsia="Cambria" w:hAnsi="Cambria"/>
          <w:b/>
          <w:bCs/>
          <w:color w:val="2E5496"/>
          <w:sz w:val="30"/>
          <w:szCs w:val="30"/>
        </w:rPr>
        <w:t xml:space="preserve">3.2  Process noise vs. sensor noise</w:t>
      </w:r>
    </w:p>
    <w:p>
      <w:pPr>
        <w:spacing w:after="160" w:before="0"/>
      </w:pPr>
      <w:r>
        <w:rPr>
          <w:rFonts w:ascii="Cambria" w:cs="Cambria" w:eastAsia="Cambria" w:hAnsi="Cambria"/>
          <w:sz w:val="24"/>
          <w:szCs w:val="24"/>
        </w:rPr>
        <w:t xml:space="preserve">In an EKF, σ_w² should be set higher than the pure current sensor variance because it also represents unmodelled process dynamics — capacity fade with ageing, temperature-dependent efficiency η, self-discharge, and quantisation in the Coulomb counting. Inflating SigmaW beyond the sensor floor is standard practice and prevents the covariance from collapsing to near-zero (filter overconfidence).</w:t>
      </w:r>
    </w:p>
    <w:p>
      <w:pPr>
        <w:pStyle w:val="Heading2"/>
        <w:spacing w:after="180" w:before="320"/>
      </w:pPr>
      <w:r>
        <w:rPr>
          <w:rFonts w:ascii="Cambria" w:cs="Cambria" w:eastAsia="Cambria" w:hAnsi="Cambria"/>
          <w:b/>
          <w:bCs/>
          <w:color w:val="2E5496"/>
          <w:sz w:val="30"/>
          <w:szCs w:val="30"/>
        </w:rPr>
        <w:t xml:space="preserve">3.3  Typical published values</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1500"/>
        <w:gridCol w:w="1800"/>
        <w:gridCol w:w="2860"/>
      </w:tblGrid>
      <w:tr>
        <w:tc>
          <w:tcPr>
            <w:tcW w:type="dxa" w:w="32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Context</w:t>
            </w:r>
          </w:p>
        </w:tc>
        <w:tc>
          <w:tcPr>
            <w:tcW w:type="dxa" w:w="15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σ_w (A)</w:t>
            </w:r>
          </w:p>
        </w:tc>
        <w:tc>
          <w:tcPr>
            <w:tcW w:type="dxa" w:w="18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σ_w² (A²)</w:t>
            </w:r>
          </w:p>
        </w:tc>
        <w:tc>
          <w:tcPr>
            <w:tcW w:type="dxa" w:w="286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Notes</w:t>
            </w:r>
          </w:p>
        </w:tc>
      </w:tr>
      <w:tr>
        <w:tc>
          <w:tcPr>
            <w:tcW w:type="dxa" w:w="3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High-quality automotive shunt</w:t>
            </w:r>
          </w:p>
        </w:tc>
        <w:tc>
          <w:tcPr>
            <w:tcW w:type="dxa" w:w="1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0.1–0.3</w:t>
            </w:r>
          </w:p>
        </w:tc>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0.01–0.1</w:t>
            </w:r>
          </w:p>
        </w:tc>
        <w:tc>
          <w:tcPr>
            <w:tcW w:type="dxa" w:w="2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After temperature compensation</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Hall-effect sensor</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0.5–2</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0.25–4</w:t>
            </w:r>
          </w:p>
        </w:tc>
        <w:tc>
          <w:tcPr>
            <w:tcW w:type="dxa" w:w="28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Lower accuracy, high-current packs</w:t>
            </w:r>
          </w:p>
        </w:tc>
      </w:tr>
      <w:tr>
        <w:tc>
          <w:tcPr>
            <w:tcW w:type="dxa" w:w="32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Including unmodelled dynamics</w:t>
            </w:r>
          </w:p>
        </w:tc>
        <w:tc>
          <w:tcPr>
            <w:tcW w:type="dxa" w:w="15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1–5</w:t>
            </w:r>
          </w:p>
        </w:tc>
        <w:tc>
          <w:tcPr>
            <w:tcW w:type="dxa" w:w="1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1–25</w:t>
            </w:r>
          </w:p>
        </w:tc>
        <w:tc>
          <w:tcPr>
            <w:tcW w:type="dxa" w:w="28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Typical EKF papers, fixed-parameter model</w:t>
            </w:r>
          </w:p>
        </w:tc>
      </w:tr>
      <w:tr>
        <w:tc>
          <w:tcPr>
            <w:tcW w:type="dxa" w:w="32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Plett-style conservative start</w:t>
            </w:r>
          </w:p>
        </w:tc>
        <w:tc>
          <w:tcPr>
            <w:tcW w:type="dxa" w:w="15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~3.2</w:t>
            </w:r>
          </w:p>
        </w:tc>
        <w:tc>
          <w:tcPr>
            <w:tcW w:type="dxa" w:w="1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~10</w:t>
            </w:r>
          </w:p>
        </w:tc>
        <w:tc>
          <w:tcPr>
            <w:tcW w:type="dxa" w:w="28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Your SigmaW = 1e1 — reasonable</w:t>
            </w:r>
          </w:p>
        </w:tc>
      </w:tr>
    </w:tbl>
    <w:p>
      <w:pPr>
        <w:spacing w:after="200"/>
      </w:pPr>
    </w:p>
    <w:p>
      <w:pPr>
        <w:spacing w:after="160" w:before="0"/>
      </w:pPr>
      <w:r>
        <w:rPr>
          <w:rFonts w:ascii="Cambria" w:cs="Cambria" w:eastAsia="Cambria" w:hAnsi="Cambria"/>
          <w:sz w:val="24"/>
          <w:szCs w:val="24"/>
        </w:rPr>
        <w:t xml:space="preserve">Your value of SigmaW = 10 A² (σ_w ≈ 3.2 A) is a reasonable starting point for a cell with a nominal capacity around 4–5 Ah and a current range up to ±100 A. It is intentionally inflated above the pure sensor floor to account for model uncertainty, which is correct practice.</w:t>
      </w:r>
    </w:p>
    <w:p>
      <w:pPr>
        <w:pStyle w:val="Heading1"/>
        <w:spacing w:after="240" w:before="480"/>
      </w:pPr>
      <w:r>
        <w:rPr>
          <w:rFonts w:ascii="Cambria" w:cs="Cambria" w:eastAsia="Cambria" w:hAnsi="Cambria"/>
          <w:b/>
          <w:bCs/>
          <w:color w:val="1F3864"/>
          <w:sz w:val="36"/>
          <w:szCs w:val="36"/>
        </w:rPr>
        <w:t xml:space="preserve">4. Initial State Covariance Σ_x0 (SigmaX0)</w:t>
      </w:r>
    </w:p>
    <w:p>
      <w:pPr>
        <w:spacing w:after="160" w:before="0"/>
      </w:pPr>
      <w:r>
        <w:rPr>
          <w:rFonts w:ascii="Cambria" w:cs="Cambria" w:eastAsia="Cambria" w:hAnsi="Cambria"/>
          <w:sz w:val="24"/>
          <w:szCs w:val="24"/>
        </w:rPr>
        <w:t xml:space="preserve">The initial covariance matrix reflects uncertainty in the starting state estimate. Your code uses:</w:t>
      </w:r>
    </w:p>
    <w:p>
      <w:pPr>
        <w:spacing w:after="80" w:before="0"/>
        <w:ind w:left="720"/>
      </w:pPr>
      <w:r>
        <w:rPr>
          <w:rFonts w:ascii="Courier New" w:cs="Courier New" w:eastAsia="Courier New" w:hAnsi="Courier New"/>
          <w:i/>
          <w:iCs/>
          <w:color w:val="2F5496"/>
          <w:sz w:val="20"/>
          <w:szCs w:val="20"/>
        </w:rPr>
        <w:t xml:space="preserve">SigmaX0 = diag([1e-3, 1e-3, 1e-3, 1e-2])</w:t>
      </w:r>
    </w:p>
    <w:p>
      <w:pPr>
        <w:spacing w:after="160" w:before="0"/>
      </w:pPr>
      <w:r>
        <w:rPr>
          <w:rFonts w:ascii="Cambria" w:cs="Cambria" w:eastAsia="Cambria" w:hAnsi="Cambria"/>
          <w:sz w:val="24"/>
          <w:szCs w:val="24"/>
        </w:rPr>
        <w:t xml:space="preserve">Interpreting each diagonal entry:</w:t>
      </w:r>
    </w:p>
    <w:p>
      <w:pPr>
        <w:spacing w:after="120"/>
      </w:pP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2800"/>
        <w:gridCol w:w="1600"/>
        <w:gridCol w:w="1600"/>
        <w:gridCol w:w="3320"/>
      </w:tblGrid>
      <w:tr>
        <w:tc>
          <w:tcPr>
            <w:tcW w:type="dxa" w:w="28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State</w:t>
            </w:r>
          </w:p>
        </w:tc>
        <w:tc>
          <w:tcPr>
            <w:tcW w:type="dxa" w:w="16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Variance</w:t>
            </w:r>
          </w:p>
        </w:tc>
        <w:tc>
          <w:tcPr>
            <w:tcW w:type="dxa" w:w="16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σ (1σ)</w:t>
            </w:r>
          </w:p>
        </w:tc>
        <w:tc>
          <w:tcPr>
            <w:tcW w:type="dxa" w:w="332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Comment</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iⁱ₁ (RC branch 1 current)</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1e-3 A²</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31 mA</w:t>
            </w:r>
          </w:p>
        </w:tc>
        <w:tc>
          <w:tcPr>
            <w:tcW w:type="dxa" w:w="3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Appropriate — cell assumed at rest, ~C/150 for 4.5 Ah cell</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iⁱ₂ (RC branch 2 current)</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1e-3 A²</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31 mA</w:t>
            </w:r>
          </w:p>
        </w:tc>
        <w:tc>
          <w:tcPr>
            <w:tcW w:type="dxa" w:w="3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Same reasoning</w:t>
            </w:r>
          </w:p>
        </w:tc>
      </w:tr>
      <w:tr>
        <w:tc>
          <w:tcPr>
            <w:tcW w:type="dxa" w:w="28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h (hysteresis state)</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1e-3</w:t>
            </w:r>
          </w:p>
        </w:tc>
        <w:tc>
          <w:tcPr>
            <w:tcW w:type="dxa" w:w="16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3.2%</w:t>
            </w:r>
          </w:p>
        </w:tc>
        <w:tc>
          <w:tcPr>
            <w:tcW w:type="dxa" w:w="332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Small on the ±1 scale, appropriate for rest</w:t>
            </w:r>
          </w:p>
        </w:tc>
      </w:tr>
      <w:tr>
        <w:tc>
          <w:tcPr>
            <w:tcW w:type="dxa" w:w="28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z (SOC)</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1e-2</w:t>
            </w:r>
          </w:p>
        </w:tc>
        <w:tc>
          <w:tcPr>
            <w:tcW w:type="dxa" w:w="16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10% SOC</w:t>
            </w:r>
          </w:p>
        </w:tc>
        <w:tc>
          <w:tcPr>
            <w:tcW w:type="dxa" w:w="332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Correct given the deliberate −30% SOC offset</w:t>
            </w:r>
          </w:p>
        </w:tc>
      </w:tr>
    </w:tbl>
    <w:p>
      <w:pPr>
        <w:spacing w:after="200"/>
      </w:pPr>
    </w:p>
    <w:p>
      <w:pPr>
        <w:spacing w:after="160" w:before="0"/>
      </w:pPr>
      <w:r>
        <w:rPr>
          <w:rFonts w:ascii="Cambria" w:cs="Cambria" w:eastAsia="Cambria" w:hAnsi="Cambria"/>
          <w:sz w:val="24"/>
          <w:szCs w:val="24"/>
        </w:rPr>
        <w:t xml:space="preserve">The 10% SOC initial uncertainty is consistent with published practice. Some papers use as low as 0.32% for well-initialised filters (known starting OCV). In a real BMS without prior knowledge of SOC, 10–20% is appropriate.</w:t>
      </w:r>
    </w:p>
    <w:p>
      <w:pPr>
        <w:pStyle w:val="Heading1"/>
        <w:spacing w:after="240" w:before="480"/>
      </w:pPr>
      <w:r>
        <w:rPr>
          <w:rFonts w:ascii="Cambria" w:cs="Cambria" w:eastAsia="Cambria" w:hAnsi="Cambria"/>
          <w:b/>
          <w:bCs/>
          <w:color w:val="1F3864"/>
          <w:sz w:val="36"/>
          <w:szCs w:val="36"/>
        </w:rPr>
        <w:t xml:space="preserve">5. Practical Tuning Relationships</w:t>
      </w:r>
    </w:p>
    <w:p>
      <w:pPr>
        <w:pStyle w:val="Heading2"/>
        <w:spacing w:after="180" w:before="320"/>
      </w:pPr>
      <w:r>
        <w:rPr>
          <w:rFonts w:ascii="Cambria" w:cs="Cambria" w:eastAsia="Cambria" w:hAnsi="Cambria"/>
          <w:b/>
          <w:bCs/>
          <w:color w:val="2E5496"/>
          <w:sz w:val="30"/>
          <w:szCs w:val="30"/>
        </w:rPr>
        <w:t xml:space="preserve">5.1  The gain ratio</w:t>
      </w:r>
    </w:p>
    <w:p>
      <w:pPr>
        <w:spacing w:after="160" w:before="0"/>
      </w:pPr>
      <w:r>
        <w:rPr>
          <w:rFonts w:ascii="Cambria" w:cs="Cambria" w:eastAsia="Cambria" w:hAnsi="Cambria"/>
          <w:sz w:val="24"/>
          <w:szCs w:val="24"/>
        </w:rPr>
        <w:t xml:space="preserve">At steady state, the Kalman gain for SOC is approximately proportional to:</w:t>
      </w:r>
    </w:p>
    <w:p>
      <w:pPr>
        <w:spacing w:after="140" w:before="100"/>
        <w:jc w:val="center"/>
      </w:pPr>
      <w:r>
        <w:rPr>
          <w:rFonts w:ascii="Cambria Math" w:cs="Cambria Math" w:eastAsia="Cambria Math" w:hAnsi="Cambria Math"/>
          <w:i/>
          <w:iCs/>
          <w:sz w:val="24"/>
          <w:szCs w:val="24"/>
        </w:rPr>
        <w:t xml:space="preserve">L_z ∝ σ_w² / (σ_w² + σ_v² / (dOCV/dz)²)</w:t>
      </w:r>
    </w:p>
    <w:p>
      <w:pPr>
        <w:spacing w:after="160" w:before="0"/>
      </w:pPr>
      <w:r>
        <w:rPr>
          <w:rFonts w:ascii="Cambria" w:cs="Cambria" w:eastAsia="Cambria" w:hAnsi="Cambria"/>
          <w:sz w:val="24"/>
          <w:szCs w:val="24"/>
        </w:rPr>
        <w:t xml:space="preserve">This shows that:</w:t>
      </w:r>
    </w:p>
    <w:p>
      <w:pPr>
        <w:spacing w:after="100" w:before="0"/>
        <w:ind w:left="720" w:hanging="360"/>
      </w:pPr>
      <w:r>
        <w:rPr>
          <w:rFonts w:ascii="Cambria" w:cs="Cambria" w:eastAsia="Cambria" w:hAnsi="Cambria"/>
          <w:sz w:val="24"/>
          <w:szCs w:val="24"/>
        </w:rPr>
        <w:t xml:space="preserve">•  In the flat OCV region (dOCV/dz ≈ 0, e.g. mid-SOC for LFP or graphite), voltage measurements are almost useless for SOC correction regardless of σ_v². The filter relies entirely on Coulomb counting.</w:t>
      </w:r>
    </w:p>
    <w:p>
      <w:pPr>
        <w:spacing w:after="100" w:before="0"/>
        <w:ind w:left="720" w:hanging="360"/>
      </w:pPr>
      <w:r>
        <w:rPr>
          <w:rFonts w:ascii="Cambria" w:cs="Cambria" w:eastAsia="Cambria" w:hAnsi="Cambria"/>
          <w:sz w:val="24"/>
          <w:szCs w:val="24"/>
        </w:rPr>
        <w:t xml:space="preserve">•  Near full charge or full discharge (steep OCV), even a small SigmaV produces a large gain and the voltage measurement dominates.</w:t>
      </w:r>
    </w:p>
    <w:p>
      <w:pPr>
        <w:spacing w:after="100" w:before="0"/>
        <w:ind w:left="720" w:hanging="360"/>
      </w:pPr>
      <w:r>
        <w:rPr>
          <w:rFonts w:ascii="Cambria" w:cs="Cambria" w:eastAsia="Cambria" w:hAnsi="Cambria"/>
          <w:sz w:val="24"/>
          <w:szCs w:val="24"/>
        </w:rPr>
        <w:t xml:space="preserve">•  The ratio SigmaW / SigmaV controls the balance. Increasing SigmaW relative to SigmaV increases reliance on voltage.</w:t>
      </w:r>
    </w:p>
    <w:p>
      <w:pPr>
        <w:pStyle w:val="Heading2"/>
        <w:spacing w:after="180" w:before="320"/>
      </w:pPr>
      <w:r>
        <w:rPr>
          <w:rFonts w:ascii="Cambria" w:cs="Cambria" w:eastAsia="Cambria" w:hAnsi="Cambria"/>
          <w:b/>
          <w:bCs/>
          <w:color w:val="2E5496"/>
          <w:sz w:val="30"/>
          <w:szCs w:val="30"/>
        </w:rPr>
        <w:t xml:space="preserve">5.2  Convergence speed vs. noise sensitivity</w:t>
      </w:r>
    </w:p>
    <w:p>
      <w:pPr>
        <w:spacing w:after="160" w:before="0"/>
      </w:pPr>
      <w:r>
        <w:rPr>
          <w:rFonts w:ascii="Cambria" w:cs="Cambria" w:eastAsia="Cambria" w:hAnsi="Cambria"/>
          <w:sz w:val="24"/>
          <w:szCs w:val="24"/>
        </w:rPr>
        <w:t xml:space="preserve">There is a fundamental trade-off:</w:t>
      </w:r>
    </w:p>
    <w:p>
      <w:pPr>
        <w:spacing w:after="100" w:before="0"/>
        <w:ind w:left="720" w:hanging="360"/>
      </w:pPr>
      <w:r>
        <w:rPr>
          <w:rFonts w:ascii="Cambria" w:cs="Cambria" w:eastAsia="Cambria" w:hAnsi="Cambria"/>
          <w:sz w:val="24"/>
          <w:szCs w:val="24"/>
        </w:rPr>
        <w:t xml:space="preserve">•  High SigmaW + low SigmaV: fast convergence from bad initial SOC, high noise sensitivity at steady state.</w:t>
      </w:r>
    </w:p>
    <w:p>
      <w:pPr>
        <w:spacing w:after="100" w:before="0"/>
        <w:ind w:left="720" w:hanging="360"/>
      </w:pPr>
      <w:r>
        <w:rPr>
          <w:rFonts w:ascii="Cambria" w:cs="Cambria" w:eastAsia="Cambria" w:hAnsi="Cambria"/>
          <w:sz w:val="24"/>
          <w:szCs w:val="24"/>
        </w:rPr>
        <w:t xml:space="preserve">•  Low SigmaW + high SigmaV: slow convergence, smooth steady-state estimate, risk of drift with current sensor bias.</w:t>
      </w:r>
    </w:p>
    <w:p>
      <w:pPr>
        <w:spacing w:after="160" w:before="0"/>
      </w:pPr>
      <w:r>
        <w:rPr>
          <w:rFonts w:ascii="Cambria" w:cs="Cambria" w:eastAsia="Cambria" w:hAnsi="Cambria"/>
          <w:sz w:val="24"/>
          <w:szCs w:val="24"/>
        </w:rPr>
        <w:t xml:space="preserve">The standard approach in production BMS development is to tune on representative drive-cycle data (WLTP, UDDS, HPPC) by minimising RMS SOC error against a Coulomb-counted reference from a laboratory cycler, then validate across the full temperature range and across aged cells.</w:t>
      </w:r>
    </w:p>
    <w:p>
      <w:pPr>
        <w:pStyle w:val="Heading2"/>
        <w:spacing w:after="180" w:before="320"/>
      </w:pPr>
      <w:r>
        <w:rPr>
          <w:rFonts w:ascii="Cambria" w:cs="Cambria" w:eastAsia="Cambria" w:hAnsi="Cambria"/>
          <w:b/>
          <w:bCs/>
          <w:color w:val="2E5496"/>
          <w:sz w:val="30"/>
          <w:szCs w:val="30"/>
        </w:rPr>
        <w:t xml:space="preserve">5.3  Adaptive EKF</w:t>
      </w:r>
    </w:p>
    <w:p>
      <w:pPr>
        <w:spacing w:after="160" w:before="0"/>
      </w:pPr>
      <w:r>
        <w:rPr>
          <w:rFonts w:ascii="Cambria" w:cs="Cambria" w:eastAsia="Cambria" w:hAnsi="Cambria"/>
          <w:sz w:val="24"/>
          <w:szCs w:val="24"/>
        </w:rPr>
        <w:t xml:space="preserve">Fixed noise covariances are a known limitation. Adaptive EKF (AEKF) schemes estimate the noise covariances online by tracking the innovation statistics (the running variance of rₖ = Vₖ − ŷₖ). Published results show that adaptive covariance matrices can reduce SOC estimation error by up to 85% compared to fixed-covariance implementations. This is particularly important for aged cells where model parameters have drifted.</w:t>
      </w:r>
    </w:p>
    <w:p>
      <w:pPr>
        <w:pStyle w:val="Heading1"/>
        <w:spacing w:after="240" w:before="480"/>
      </w:pPr>
      <w:r>
        <w:rPr>
          <w:rFonts w:ascii="Cambria" w:cs="Cambria" w:eastAsia="Cambria" w:hAnsi="Cambria"/>
          <w:b/>
          <w:bCs/>
          <w:color w:val="1F3864"/>
          <w:sz w:val="36"/>
          <w:szCs w:val="36"/>
        </w:rPr>
        <w:t xml:space="preserve">6. Recommended Starting Ranges for a 2RC EKF</w:t>
      </w:r>
    </w:p>
    <w:p>
      <w:pPr>
        <w:spacing w:after="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2560"/>
        <w:gridCol w:w="2400"/>
      </w:tblGrid>
      <w:tr>
        <w:tc>
          <w:tcPr>
            <w:tcW w:type="dxa" w:w="24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Parameter</w:t>
            </w:r>
          </w:p>
        </w:tc>
        <w:tc>
          <w:tcPr>
            <w:tcW w:type="dxa" w:w="20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Development / Lab</w:t>
            </w:r>
          </w:p>
        </w:tc>
        <w:tc>
          <w:tcPr>
            <w:tcW w:type="dxa" w:w="256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Production (well-characterised)</w:t>
            </w:r>
          </w:p>
        </w:tc>
        <w:tc>
          <w:tcPr>
            <w:tcW w:type="dxa" w:w="2400"/>
            <w:tcBorders>
              <w:top w:val="single" w:color="B8CCE4" w:sz="1"/>
              <w:left w:val="single" w:color="B8CCE4" w:sz="1"/>
              <w:bottom w:val="single" w:color="B8CCE4" w:sz="1"/>
              <w:right w:val="single" w:color="B8CCE4" w:sz="1"/>
            </w:tcBorders>
            <w:shd w:fill="2E5496" w:val="clear"/>
            <w:tcMar>
              <w:top w:type="dxa" w:w="80"/>
              <w:left w:type="dxa" w:w="120"/>
              <w:bottom w:type="dxa" w:w="80"/>
              <w:right w:type="dxa" w:w="120"/>
            </w:tcMar>
          </w:tcPr>
          <w:p>
            <w:pPr>
              <w:jc w:val="center"/>
            </w:pPr>
            <w:r>
              <w:rPr>
                <w:rFonts w:ascii="Cambria" w:cs="Cambria" w:eastAsia="Cambria" w:hAnsi="Cambria"/>
                <w:b/>
                <w:bCs/>
                <w:color w:val="FFFFFF"/>
                <w:sz w:val="22"/>
                <w:szCs w:val="22"/>
              </w:rPr>
              <w:t xml:space="preserve">Notes</w:t>
            </w:r>
          </w:p>
        </w:tc>
      </w:tr>
      <w:tr>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SigmaV (V²)</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1e-2 to 1e-1</w:t>
            </w:r>
          </w:p>
        </w:tc>
        <w:tc>
          <w:tcPr>
            <w:tcW w:type="dxa" w:w="2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1e-4 to 1e-3</w:t>
            </w:r>
          </w:p>
        </w:tc>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Reduce after convergence testing</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SigmaW (A²)</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1 to 10</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0.1 to 1</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Inflate above sensor floor for robustness</w:t>
            </w:r>
          </w:p>
        </w:tc>
      </w:tr>
      <w:tr>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SigmaX0[z,z]</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1e-2 (10% σ)</w:t>
            </w:r>
          </w:p>
        </w:tc>
        <w:tc>
          <w:tcPr>
            <w:tcW w:type="dxa" w:w="2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1e-4 (1% σ)</w:t>
            </w:r>
          </w:p>
        </w:tc>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Smaller if initial SOC is known from OCV</w:t>
            </w:r>
          </w:p>
        </w:tc>
      </w:tr>
      <w:tr>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left"/>
            </w:pPr>
            <w:r>
              <w:rPr>
                <w:rFonts w:ascii="Cambria" w:cs="Cambria" w:eastAsia="Cambria" w:hAnsi="Cambria"/>
                <w:sz w:val="20"/>
                <w:szCs w:val="20"/>
              </w:rPr>
              <w:t xml:space="preserve">SigmaX0[RC,RC]</w:t>
            </w:r>
          </w:p>
        </w:tc>
        <w:tc>
          <w:tcPr>
            <w:tcW w:type="dxa" w:w="20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ambria" w:cs="Cambria" w:eastAsia="Cambria" w:hAnsi="Cambria"/>
                <w:sz w:val="20"/>
                <w:szCs w:val="20"/>
              </w:rPr>
              <w:t xml:space="preserve">1e-3</w:t>
            </w:r>
          </w:p>
        </w:tc>
        <w:tc>
          <w:tcPr>
            <w:tcW w:type="dxa" w:w="256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1e-4</w:t>
            </w:r>
          </w:p>
        </w:tc>
        <w:tc>
          <w:tcPr>
            <w:tcW w:type="dxa" w:w="2400"/>
            <w:tcBorders>
              <w:top w:val="single" w:color="B8CCE4" w:sz="1"/>
              <w:left w:val="single" w:color="B8CCE4" w:sz="1"/>
              <w:bottom w:val="single" w:color="B8CCE4" w:sz="1"/>
              <w:right w:val="single" w:color="B8CCE4" w:sz="1"/>
            </w:tcBorders>
            <w:shd w:fill="FFFFFF" w:val="clear"/>
            <w:tcMar>
              <w:top w:type="dxa" w:w="80"/>
              <w:left w:type="dxa" w:w="120"/>
              <w:bottom w:type="dxa" w:w="80"/>
              <w:right w:type="dxa" w:w="120"/>
            </w:tcMar>
          </w:tcPr>
          <w:p>
            <w:pPr>
              <w:jc w:val="center"/>
            </w:pPr>
            <w:r>
              <w:rPr>
                <w:rFonts w:ascii="Courier New" w:cs="Courier New" w:eastAsia="Courier New" w:hAnsi="Courier New"/>
                <w:sz w:val="20"/>
                <w:szCs w:val="20"/>
              </w:rPr>
              <w:t xml:space="preserve">Cell assumed near rest at startup</w:t>
            </w:r>
          </w:p>
        </w:tc>
      </w:tr>
      <w:tr>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left"/>
            </w:pPr>
            <w:r>
              <w:rPr>
                <w:rFonts w:ascii="Cambria" w:cs="Cambria" w:eastAsia="Cambria" w:hAnsi="Cambria"/>
                <w:sz w:val="20"/>
                <w:szCs w:val="20"/>
              </w:rPr>
              <w:t xml:space="preserve">SigmaX0[h,h]</w:t>
            </w:r>
          </w:p>
        </w:tc>
        <w:tc>
          <w:tcPr>
            <w:tcW w:type="dxa" w:w="20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ambria" w:cs="Cambria" w:eastAsia="Cambria" w:hAnsi="Cambria"/>
                <w:sz w:val="20"/>
                <w:szCs w:val="20"/>
              </w:rPr>
              <w:t xml:space="preserve">1e-3</w:t>
            </w:r>
          </w:p>
        </w:tc>
        <w:tc>
          <w:tcPr>
            <w:tcW w:type="dxa" w:w="256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1e-4</w:t>
            </w:r>
          </w:p>
        </w:tc>
        <w:tc>
          <w:tcPr>
            <w:tcW w:type="dxa" w:w="2400"/>
            <w:tcBorders>
              <w:top w:val="single" w:color="B8CCE4" w:sz="1"/>
              <w:left w:val="single" w:color="B8CCE4" w:sz="1"/>
              <w:bottom w:val="single" w:color="B8CCE4" w:sz="1"/>
              <w:right w:val="single" w:color="B8CCE4" w:sz="1"/>
            </w:tcBorders>
            <w:shd w:fill="DEEAF1" w:val="clear"/>
            <w:tcMar>
              <w:top w:type="dxa" w:w="80"/>
              <w:left w:type="dxa" w:w="120"/>
              <w:bottom w:type="dxa" w:w="80"/>
              <w:right w:type="dxa" w:w="120"/>
            </w:tcMar>
          </w:tcPr>
          <w:p>
            <w:pPr>
              <w:jc w:val="center"/>
            </w:pPr>
            <w:r>
              <w:rPr>
                <w:rFonts w:ascii="Courier New" w:cs="Courier New" w:eastAsia="Courier New" w:hAnsi="Courier New"/>
                <w:sz w:val="20"/>
                <w:szCs w:val="20"/>
              </w:rPr>
              <w:t xml:space="preserve">Neutral hysteresis assumed</w:t>
            </w:r>
          </w:p>
        </w:tc>
      </w:tr>
    </w:tbl>
    <w:p>
      <w:pPr>
        <w:spacing w:after="200"/>
      </w:pPr>
    </w:p>
    <w:p>
      <w:pPr>
        <w:spacing w:after="160" w:before="0"/>
        <w:ind w:left="720"/>
      </w:pPr>
      <w:r>
        <w:rPr>
          <w:rFonts w:ascii="Cambria" w:cs="Cambria" w:eastAsia="Cambria" w:hAnsi="Cambria"/>
          <w:i/>
          <w:iCs/>
          <w:color w:val="7F6000"/>
          <w:sz w:val="22"/>
          <w:szCs w:val="22"/>
        </w:rPr>
        <w:t xml:space="preserve">⚠  These are starting ranges only. Final values must be validated experimentally on the target cell chemistry and hardware. LFP cells with a flat OCV plateau require higher SigmaV or an adaptive scheme because dOCV/dz ≈ 0 over most of the SOC range.</w:t>
      </w:r>
    </w:p>
    <w:p>
      <w:pPr>
        <w:spacing w:after="480"/>
      </w:pPr>
    </w:p>
    <w:p>
      <w:pPr>
        <w:pBdr>
          <w:top w:val="single" w:color="AAAAAA" w:sz="4" w:space="4"/>
        </w:pBdr>
        <w:spacing w:before="200"/>
        <w:jc w:val="center"/>
      </w:pPr>
      <w:r>
        <w:rPr>
          <w:rFonts w:ascii="Cambria" w:cs="Cambria" w:eastAsia="Cambria" w:hAnsi="Cambria"/>
          <w:i/>
          <w:iCs/>
          <w:color w:val="888888"/>
          <w:sz w:val="18"/>
          <w:szCs w:val="18"/>
        </w:rPr>
        <w:t xml:space="preserve">EKF Noise Tuning Reference — BMS SOC Estimation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mbria" w:cs="Cambria" w:eastAsia="Cambria" w:hAnsi="Cambr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480"/>
      <w:outlineLvl w:val="0"/>
    </w:pPr>
    <w:rPr>
      <w:rFonts w:ascii="Cambria" w:cs="Cambria" w:eastAsia="Cambria" w:hAnsi="Cambria"/>
      <w:b/>
      <w:bCs/>
      <w:color w:val="1F3864"/>
      <w:sz w:val="36"/>
      <w:szCs w:val="36"/>
    </w:rPr>
  </w:style>
  <w:style w:type="paragraph" w:styleId="Heading2">
    <w:name w:val="Heading 2"/>
    <w:basedOn w:val="Normal"/>
    <w:next w:val="Normal"/>
    <w:qFormat/>
    <w:pPr>
      <w:spacing w:after="180" w:before="320"/>
      <w:outlineLvl w:val="1"/>
    </w:pPr>
    <w:rPr>
      <w:rFonts w:ascii="Cambria" w:cs="Cambria" w:eastAsia="Cambria" w:hAnsi="Cambria"/>
      <w:b/>
      <w:bCs/>
      <w:color w:val="2E5496"/>
      <w:sz w:val="30"/>
      <w:szCs w:val="30"/>
    </w:rPr>
  </w:style>
  <w:style w:type="paragraph" w:styleId="Heading3">
    <w:name w:val="Heading 3"/>
    <w:basedOn w:val="Normal"/>
    <w:next w:val="Normal"/>
    <w:qFormat/>
    <w:pPr>
      <w:spacing w:after="120" w:before="240"/>
      <w:outlineLvl w:val="2"/>
    </w:pPr>
    <w:rPr>
      <w:rFonts w:ascii="Cambria" w:cs="Cambria" w:eastAsia="Cambria" w:hAnsi="Cambria"/>
      <w:b/>
      <w:bCs/>
      <w:i/>
      <w:iCs/>
      <w:color w:val="37562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2026-04-16T23:03:29.634Z</dcterms:created>
  <dcterms:modified xsi:type="dcterms:W3CDTF">2026-04-16T23:03:29.635Z</dcterms:modified>
</cp:coreProperties>
</file>

<file path=docProps/custom.xml><?xml version="1.0" encoding="utf-8"?>
<Properties xmlns="http://schemas.openxmlformats.org/officeDocument/2006/custom-properties" xmlns:vt="http://schemas.openxmlformats.org/officeDocument/2006/docPropsVTypes"/>
</file>