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40"/>
          <w:szCs w:val="40"/>
        </w:rPr>
        <w:t xml:space="preserve">ADDENDUM AU CAHIER DES CHARGES</w:t>
      </w:r>
    </w:p>
    <w:p>
      <w:pPr>
        <w:spacing w:after="200" w:before="200"/>
        <w:jc w:val="center"/>
      </w:pPr>
      <w:r>
        <w:rPr>
          <w:color w:val="2E75B6"/>
          <w:sz w:val="28"/>
          <w:szCs w:val="28"/>
        </w:rPr>
        <w:t xml:space="preserve">Identité décentralisée (Ğ1 / Duniter) et trajectoire Web3</w:t>
      </w:r>
    </w:p>
    <w:p>
      <w:pPr>
        <w:spacing w:after="100"/>
        <w:jc w:val="center"/>
      </w:pPr>
      <w:r>
        <w:rPr>
          <w:b/>
          <w:bCs/>
          <w:sz w:val="26"/>
          <w:szCs w:val="26"/>
        </w:rPr>
        <w:t xml:space="preserve">Projet AgoraVote — Version 0.3</w:t>
      </w:r>
    </w:p>
    <w:p>
      <w:pPr>
        <w:spacing w:after="600"/>
        <w:jc w:val="center"/>
      </w:pPr>
      <w:r>
        <w:rPr>
          <w:i/>
          <w:iCs/>
          <w:sz w:val="20"/>
          <w:szCs w:val="20"/>
        </w:rPr>
        <w:t xml:space="preserve">Document de vision et d'architecture — ne modifie pas encore le code existant</w:t>
      </w:r>
    </w:p>
    <w:p>
      <w:pPr>
        <w:spacing w:after="100"/>
        <w:jc w:val="center"/>
      </w:pPr>
      <w:r>
        <w:rPr>
          <w:i/>
          <w:iCs/>
          <w:color w:val="2E75B6"/>
          <w:sz w:val="20"/>
          <w:szCs w:val="20"/>
        </w:rPr>
        <w:t xml:space="preserve">Ce document complète le Cahier des charges v0.2 : il ne le remplace pas et ne duplique pas son contenu.</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0. Note de version 0.3 et portée du document</w:t>
      </w:r>
    </w:p>
    <w:p>
      <w:pPr>
        <w:spacing w:after="160"/>
      </w:pPr>
      <w:r>
        <w:rPr>
          <w:b w:val="false"/>
          <w:bCs w:val="false"/>
          <w:i w:val="false"/>
          <w:iCs w:val="false"/>
        </w:rPr>
        <w:t xml:space="preserve">Ce document répond à une orientation stratégique donnée au projet : préparer une intégration future avec l'écosystème de la Ğ1 (monnaie libre) pour la question de l'identité des participants, et envisager à terme une architecture partiellement décentralisée (« web3 »). Conformément à la demande, ce travail reste au niveau du cahier des charges et de l'architecture — aucun code n'est modifié à ce stade. Il s'appuie sur le Cahier des charges v0.2 (structure, vocabulaire, principes directeurs) et sur les six planches d'interface déjà validées.</w:t>
      </w:r>
    </w:p>
    <w:p>
      <w:pPr>
        <w:spacing w:after="160"/>
      </w:pPr>
      <w:r>
        <w:rPr>
          <w:b w:val="false"/>
          <w:bCs w:val="false"/>
          <w:i w:val="false"/>
          <w:iCs w:val="false"/>
        </w:rPr>
        <w:t xml:space="preserve">Principe de lecture : chaque proposition ci-dessous est reliée explicitement à une section du v0.2, pour que ce document puisse être fusionné dans une future version 0.4 unique sans rupture de cohérence.</w:t>
      </w:r>
    </w:p>
    <w:p>
      <w:pPr>
        <w:pStyle w:val="Heading1"/>
        <w:spacing w:after="200" w:before="400"/>
      </w:pPr>
      <w:r>
        <w:t xml:space="preserve">1. Pourquoi une question d'identité se pose pour un outil de vote</w:t>
      </w:r>
    </w:p>
    <w:p>
      <w:pPr>
        <w:spacing w:after="160"/>
      </w:pPr>
      <w:r>
        <w:rPr>
          <w:b w:val="false"/>
          <w:bCs w:val="false"/>
          <w:i w:val="false"/>
          <w:iCs w:val="false"/>
        </w:rPr>
        <w:t xml:space="preserve">Le Cahier des charges v0.2 pose déjà, en creux, une tension non résolue : un outil de sondage grand public n'a pas besoin de vérifier qui vote, tandis qu'un scrutin décisionnel (§3.2 « Vote décisionnel », « Élection ») exige une garantie forte qu'une personne ne vote qu'une fois. Le MVP actuel (§15) ne tranche pas cette question : l'authentification reste hors périmètre, documentée comme limite connue.</w:t>
      </w:r>
    </w:p>
    <w:p>
      <w:pPr>
        <w:spacing w:after="160"/>
      </w:pPr>
      <w:r>
        <w:rPr>
          <w:b w:val="false"/>
          <w:bCs w:val="false"/>
          <w:i w:val="false"/>
          <w:iCs w:val="false"/>
        </w:rPr>
        <w:t xml:space="preserve">Deux familles de réponses existent pour cette garantie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EAF1F8" w:val="clear"/>
            <w:tcMar>
              <w:top w:type="dxa" w:w="80"/>
              <w:left w:type="dxa" w:w="100"/>
              <w:bottom w:type="dxa" w:w="80"/>
              <w:right w:type="dxa" w:w="100"/>
            </w:tcMar>
          </w:tcPr>
          <w:p>
            <w:r>
              <w:rPr>
                <w:b/>
                <w:bCs/>
                <w:sz w:val="20"/>
                <w:szCs w:val="20"/>
              </w:rPr>
              <w:t xml:space="preserve">Approche</w:t>
            </w:r>
          </w:p>
        </w:tc>
        <w:tc>
          <w:tcPr>
            <w:tcW w:type="dxa" w:w="3400"/>
            <w:shd w:fill="EAF1F8" w:val="clear"/>
            <w:tcMar>
              <w:top w:type="dxa" w:w="80"/>
              <w:left w:type="dxa" w:w="100"/>
              <w:bottom w:type="dxa" w:w="80"/>
              <w:right w:type="dxa" w:w="100"/>
            </w:tcMar>
          </w:tcPr>
          <w:p>
            <w:r>
              <w:rPr>
                <w:b/>
                <w:bCs/>
                <w:sz w:val="20"/>
                <w:szCs w:val="20"/>
              </w:rPr>
              <w:t xml:space="preserve">Principe</w:t>
            </w:r>
          </w:p>
        </w:tc>
        <w:tc>
          <w:tcPr>
            <w:tcW w:type="dxa" w:w="3000"/>
            <w:shd w:fill="EAF1F8" w:val="clear"/>
            <w:tcMar>
              <w:top w:type="dxa" w:w="80"/>
              <w:left w:type="dxa" w:w="100"/>
              <w:bottom w:type="dxa" w:w="80"/>
              <w:right w:type="dxa" w:w="100"/>
            </w:tcMar>
          </w:tcPr>
          <w:p>
            <w:r>
              <w:rPr>
                <w:b/>
                <w:bCs/>
                <w:sz w:val="20"/>
                <w:szCs w:val="20"/>
              </w:rPr>
              <w:t xml:space="preserve">Limite</w:t>
            </w:r>
          </w:p>
        </w:tc>
      </w:tr>
      <w:tr>
        <w:tc>
          <w:tcPr>
            <w:tcW w:type="dxa" w:w="2600"/>
            <w:tcMar>
              <w:top w:type="dxa" w:w="80"/>
              <w:left w:type="dxa" w:w="100"/>
              <w:bottom w:type="dxa" w:w="80"/>
              <w:right w:type="dxa" w:w="100"/>
            </w:tcMar>
          </w:tcPr>
          <w:p>
            <w:r>
              <w:rPr>
                <w:b w:val="false"/>
                <w:bCs w:val="false"/>
                <w:sz w:val="20"/>
                <w:szCs w:val="20"/>
              </w:rPr>
              <w:t xml:space="preserve">Identité centralisée classique</w:t>
            </w:r>
          </w:p>
        </w:tc>
        <w:tc>
          <w:tcPr>
            <w:tcW w:type="dxa" w:w="3400"/>
            <w:tcMar>
              <w:top w:type="dxa" w:w="80"/>
              <w:left w:type="dxa" w:w="100"/>
              <w:bottom w:type="dxa" w:w="80"/>
              <w:right w:type="dxa" w:w="100"/>
            </w:tcMar>
          </w:tcPr>
          <w:p>
            <w:r>
              <w:rPr>
                <w:b w:val="false"/>
                <w:bCs w:val="false"/>
                <w:sz w:val="20"/>
                <w:szCs w:val="20"/>
              </w:rPr>
              <w:t xml:space="preserve">Compte email/téléphone, éventuellement pièce d'identité vérifiée par un tiers</w:t>
            </w:r>
          </w:p>
        </w:tc>
        <w:tc>
          <w:tcPr>
            <w:tcW w:type="dxa" w:w="3000"/>
            <w:tcMar>
              <w:top w:type="dxa" w:w="80"/>
              <w:left w:type="dxa" w:w="100"/>
              <w:bottom w:type="dxa" w:w="80"/>
              <w:right w:type="dxa" w:w="100"/>
            </w:tcMar>
          </w:tcPr>
          <w:p>
            <w:r>
              <w:rPr>
                <w:b w:val="false"/>
                <w:bCs w:val="false"/>
                <w:sz w:val="20"/>
                <w:szCs w:val="20"/>
              </w:rPr>
              <w:t xml:space="preserve">Recrée une autorité centrale de confiance — à l'opposé de l'esprit « outils libres » de la mission du projet</w:t>
            </w:r>
          </w:p>
        </w:tc>
      </w:tr>
      <w:tr>
        <w:tc>
          <w:tcPr>
            <w:tcW w:type="dxa" w:w="2600"/>
            <w:tcMar>
              <w:top w:type="dxa" w:w="80"/>
              <w:left w:type="dxa" w:w="100"/>
              <w:bottom w:type="dxa" w:w="80"/>
              <w:right w:type="dxa" w:w="100"/>
            </w:tcMar>
          </w:tcPr>
          <w:p>
            <w:r>
              <w:rPr>
                <w:b w:val="false"/>
                <w:bCs w:val="false"/>
                <w:sz w:val="20"/>
                <w:szCs w:val="20"/>
              </w:rPr>
              <w:t xml:space="preserve">Toile de confiance (Ğ1/Duniter)</w:t>
            </w:r>
          </w:p>
        </w:tc>
        <w:tc>
          <w:tcPr>
            <w:tcW w:type="dxa" w:w="3400"/>
            <w:tcMar>
              <w:top w:type="dxa" w:w="80"/>
              <w:left w:type="dxa" w:w="100"/>
              <w:bottom w:type="dxa" w:w="80"/>
              <w:right w:type="dxa" w:w="100"/>
            </w:tcMar>
          </w:tcPr>
          <w:p>
            <w:r>
              <w:rPr>
                <w:b w:val="false"/>
                <w:bCs w:val="false"/>
                <w:sz w:val="20"/>
                <w:szCs w:val="20"/>
              </w:rPr>
              <w:t xml:space="preserve">La légitimité d'une identité est établie par certification pair-à-pair entre membres qui se connaissent, sans autorité centrale</w:t>
            </w:r>
          </w:p>
        </w:tc>
        <w:tc>
          <w:tcPr>
            <w:tcW w:type="dxa" w:w="3000"/>
            <w:tcMar>
              <w:top w:type="dxa" w:w="80"/>
              <w:left w:type="dxa" w:w="100"/>
              <w:bottom w:type="dxa" w:w="80"/>
              <w:right w:type="dxa" w:w="100"/>
            </w:tcMar>
          </w:tcPr>
          <w:p>
            <w:r>
              <w:rPr>
                <w:b w:val="false"/>
                <w:bCs w:val="false"/>
                <w:sz w:val="20"/>
                <w:szCs w:val="20"/>
              </w:rPr>
              <w:t xml:space="preserve">Communauté encore réduite (voir §2.3) ; adapté à certains contextes, pas à un déploiement grand public généraliste</w:t>
            </w:r>
          </w:p>
        </w:tc>
      </w:tr>
    </w:tbl>
    <w:p>
      <w:pPr>
        <w:spacing w:after="160"/>
      </w:pPr>
      <w:r>
        <w:rPr>
          <w:b w:val="false"/>
          <w:bCs w:val="false"/>
          <w:i/>
          <w:iCs/>
        </w:rPr>
        <w:t xml:space="preserve">La toile de confiance est retenue ici comme piste d'étude parce qu'elle est cohérente avec la mission déclarée du projet (« éveil démocratique des citoyens au travers d'outils libres ») : c'est un mécanisme de légitimation communautaire, pas une vérification déléguée à une administration ou une entreprise privée.</w:t>
      </w:r>
    </w:p>
    <w:p>
      <w:pPr>
        <w:pStyle w:val="Heading1"/>
        <w:spacing w:after="200" w:before="400"/>
      </w:pPr>
      <w:r>
        <w:t xml:space="preserve">2. La Ğ1 et Duniter : ce qu'il faut en retenir pour ce projet</w:t>
      </w:r>
    </w:p>
    <w:p>
      <w:pPr>
        <w:pStyle w:val="Heading2"/>
        <w:spacing w:after="150" w:before="300"/>
      </w:pPr>
      <w:r>
        <w:t xml:space="preserve">2.1 Principe général</w:t>
      </w:r>
    </w:p>
    <w:p>
      <w:pPr>
        <w:spacing w:after="160"/>
      </w:pPr>
      <w:r>
        <w:rPr>
          <w:b w:val="false"/>
          <w:bCs w:val="false"/>
          <w:i w:val="false"/>
          <w:iCs w:val="false"/>
        </w:rPr>
        <w:t xml:space="preserve">La Ğ1 (prononcée « june ») est une monnaie libre lancée en mars 2017, s'appuyant sur la théorie relative de la monnaie : chaque membre humain co-crée une part égale de monnaie (le « dividende universel »), plutôt que la monnaie n'étant émise par une autorité centrale. Le logiciel qui fait tourner ce système, Duniter, fonctionne en pair-à-pair, sans serveur central.</w:t>
      </w:r>
    </w:p>
    <w:p>
      <w:pPr>
        <w:pStyle w:val="Heading2"/>
        <w:spacing w:after="150" w:before="300"/>
      </w:pPr>
      <w:r>
        <w:t xml:space="preserve">2.2 La toile de confiance : le mécanisme qui nous intéresse ici</w:t>
      </w:r>
    </w:p>
    <w:p>
      <w:pPr>
        <w:spacing w:after="160"/>
      </w:pPr>
      <w:r>
        <w:rPr>
          <w:b w:val="false"/>
          <w:bCs w:val="false"/>
          <w:i w:val="false"/>
          <w:iCs w:val="false"/>
        </w:rPr>
        <w:t xml:space="preserve">Ce n'est pas la dimension monétaire de la Ğ1 qui intéresse AgoraVote, mais son système d'identité : la « toile de confiance ». Pour devenir membre, une personne doit être certifiée par au moins cinq membres déjà existants, qui attestent la connaître réellement. Ce mécanisme, inspiré du web of trust de la communauté PGP, vise explicitement à empêcher qu'une même personne crée plusieurs identités (attaque dite « Sybil ») — exactement le problème que pose un scrutin en ligne ouvert.</w:t>
      </w:r>
    </w:p>
    <w:p>
      <w:pPr>
        <w:spacing w:after="160"/>
      </w:pPr>
      <w:r>
        <w:rPr>
          <w:b w:val="false"/>
          <w:bCs w:val="false"/>
          <w:i w:val="false"/>
          <w:iCs w:val="false"/>
        </w:rPr>
        <w:t xml:space="preserve">Le dispositif comporte plusieurs règles de robustesse déjà éprouvées en production :</w:t>
      </w:r>
    </w:p>
    <w:p>
      <w:pPr>
        <w:pStyle w:val="ListParagraph"/>
        <w:numPr>
          <w:ilvl w:val="0"/>
          <w:numId w:val="1"/>
        </w:numPr>
        <w:spacing w:after="80"/>
      </w:pPr>
      <w:r>
        <w:t xml:space="preserve">Un minimum de 5 certifications valides pour obtenir/conserver le statut de membre.</w:t>
      </w:r>
    </w:p>
    <w:p>
      <w:pPr>
        <w:pStyle w:val="ListParagraph"/>
        <w:numPr>
          <w:ilvl w:val="0"/>
          <w:numId w:val="1"/>
        </w:numPr>
        <w:spacing w:after="80"/>
      </w:pPr>
      <w:r>
        <w:t xml:space="preserve">Une règle de distance : un membre doit être relié à un ensemble de « membres référents » par un chemin de certifications suffisamment court dans le réseau.</w:t>
      </w:r>
    </w:p>
    <w:p>
      <w:pPr>
        <w:pStyle w:val="ListParagraph"/>
        <w:numPr>
          <w:ilvl w:val="0"/>
          <w:numId w:val="1"/>
        </w:numPr>
        <w:spacing w:after="80"/>
      </w:pPr>
      <w:r>
        <w:t xml:space="preserve">Une durée de validité de l'adhésion (environ un an), avec renouvellement explicite — évite les identités « mortes » qui traînent indéfiniment.</w:t>
      </w:r>
    </w:p>
    <w:p>
      <w:pPr>
        <w:pStyle w:val="ListParagraph"/>
        <w:numPr>
          <w:ilvl w:val="0"/>
          <w:numId w:val="1"/>
        </w:numPr>
        <w:spacing w:after="80"/>
      </w:pPr>
      <w:r>
        <w:t xml:space="preserve">Une expiration des certifications elles-mêmes après un délai donné, pour que le réseau de confiance reste actif et à jour.</w:t>
      </w:r>
    </w:p>
    <w:p>
      <w:pPr>
        <w:pStyle w:val="Heading2"/>
        <w:spacing w:after="150" w:before="300"/>
      </w:pPr>
      <w:r>
        <w:t xml:space="preserve">2.3 Échelle actuelle et limite honnête</w:t>
      </w:r>
    </w:p>
    <w:p>
      <w:pPr>
        <w:spacing w:after="160"/>
      </w:pPr>
      <w:r>
        <w:rPr>
          <w:b w:val="false"/>
          <w:bCs w:val="false"/>
          <w:i w:val="false"/>
          <w:iCs w:val="false"/>
        </w:rPr>
        <w:t xml:space="preserve">La toile de confiance de la Ğ1 comptait environ 8 000 membres au moment de la rédaction de ce document, très majoritairement francophones. Ce n'est donc pas, aujourd'hui, un système d'identité utilisable à l'échelle d'un pays entier — mais c'est une échelle pertinente pour des collectifs, associations ou communes déjà proches de cet écosystème, ou pour un premier module optionnel expérimental. Ce document ne recommande donc pas de bâtir l'authentification d'AgoraVote sur la seule Ğ1, mais de l'ajouter comme option parmi d'autres, conformément au principe de modularité déjà posé (§1.1, §6 du v0.2).</w:t>
      </w:r>
    </w:p>
    <w:p>
      <w:pPr>
        <w:pStyle w:val="Heading2"/>
        <w:spacing w:after="150" w:before="300"/>
      </w:pPr>
      <w:r>
        <w:t xml:space="preserve">2.4 Une trajectoire déjà tournée vers le web3</w:t>
      </w:r>
    </w:p>
    <w:p>
      <w:pPr>
        <w:spacing w:after="160"/>
      </w:pPr>
      <w:r>
        <w:rPr>
          <w:b w:val="false"/>
          <w:bCs w:val="false"/>
          <w:i w:val="false"/>
          <w:iCs w:val="false"/>
        </w:rPr>
        <w:t xml:space="preserve">Duniter est en cours de réécriture au-dessus de Substrate, un framework de développement de blockchains qui permet de bénéficier d'un écosystème de gouvernance dite « on-chain » (les règles d'évolution du réseau sont elles-mêmes votées et exécutées par le protocole). Cette évolution est utile à noter : elle signifie que l'écosystème Ğ1/Duniter évolue déjà dans la direction envisagée pour AgoraVote au §4 de ce document, ce qui en fait un partenaire technique cohérent plutôt qu'un pari isolé.</w:t>
      </w:r>
    </w:p>
    <w:p>
      <w:pPr>
        <w:pStyle w:val="Heading1"/>
        <w:spacing w:after="200" w:before="400"/>
      </w:pPr>
      <w:r>
        <w:t xml:space="preserve">3. Ce que cela change dans l'architecture d'AgoraVote</w:t>
      </w:r>
    </w:p>
    <w:p>
      <w:pPr>
        <w:spacing w:after="160"/>
      </w:pPr>
      <w:r>
        <w:rPr>
          <w:b w:val="false"/>
          <w:bCs w:val="false"/>
          <w:i w:val="false"/>
          <w:iCs w:val="false"/>
        </w:rPr>
        <w:t xml:space="preserve">Le principe déjà établi au Cahier des charges §6 (« Architecture des modules / plugins ») s'étend naturellement : l'identité devient une nouvelle famille de module, au même rang que les méthodes de vote (§6.2) ou les statistiques. Rien dans le noyau ne doit dépendre d'une méthode d'identité particulière — de la même manière que rien ne dépend d'une méthode de vote particulière.</w:t>
      </w:r>
    </w:p>
    <w:p>
      <w:pPr>
        <w:pStyle w:val="Heading2"/>
        <w:spacing w:after="150" w:before="300"/>
      </w:pPr>
      <w:r>
        <w:t xml:space="preserve">3.1 Nouvelle famille de module : fournisseur d'identité</w:t>
      </w:r>
    </w:p>
    <w:p>
      <w:pPr>
        <w:spacing w:after="160"/>
      </w:pPr>
      <w:r>
        <w:rPr>
          <w:b w:val="false"/>
          <w:bCs w:val="false"/>
          <w:i w:val="false"/>
          <w:iCs w:val="false"/>
        </w:rPr>
        <w:t xml:space="preserve">Extension proposée du manifeste de module déjà défini au §6 :</w:t>
      </w:r>
    </w:p>
    <w:p>
      <w:pPr>
        <w:shd w:fill="EAF1F8" w:val="clear"/>
      </w:pPr>
      <w:r>
        <w:rPr>
          <w:rFonts w:ascii="Consolas" w:cs="Consolas" w:eastAsia="Consolas" w:hAnsi="Consolas"/>
          <w:sz w:val="20"/>
          <w:szCs w:val="20"/>
        </w:rPr>
        <w:t xml:space="preserve">module:</w:t>
      </w:r>
    </w:p>
    <w:p>
      <w:pPr>
        <w:shd w:fill="EAF1F8" w:val="clear"/>
      </w:pPr>
      <w:r>
        <w:rPr>
          <w:rFonts w:ascii="Consolas" w:cs="Consolas" w:eastAsia="Consolas" w:hAnsi="Consolas"/>
          <w:sz w:val="20"/>
          <w:szCs w:val="20"/>
        </w:rPr>
        <w:t xml:space="preserve">  id: identity.g1</w:t>
      </w:r>
    </w:p>
    <w:p>
      <w:pPr>
        <w:shd w:fill="EAF1F8" w:val="clear"/>
      </w:pPr>
      <w:r>
        <w:rPr>
          <w:rFonts w:ascii="Consolas" w:cs="Consolas" w:eastAsia="Consolas" w:hAnsi="Consolas"/>
          <w:sz w:val="20"/>
          <w:szCs w:val="20"/>
        </w:rPr>
        <w:t xml:space="preserve">  kind: identity_provider</w:t>
      </w:r>
    </w:p>
    <w:p>
      <w:pPr>
        <w:shd w:fill="EAF1F8" w:val="clear"/>
      </w:pPr>
      <w:r>
        <w:rPr>
          <w:rFonts w:ascii="Consolas" w:cs="Consolas" w:eastAsia="Consolas" w:hAnsi="Consolas"/>
          <w:sz w:val="20"/>
          <w:szCs w:val="20"/>
        </w:rPr>
        <w:t xml:space="preserve">  version: 0.1</w:t>
      </w:r>
    </w:p>
    <w:p>
      <w:pPr>
        <w:shd w:fill="EAF1F8" w:val="clear"/>
      </w:pPr>
      <w:r>
        <w:rPr>
          <w:rFonts w:ascii="Consolas" w:cs="Consolas" w:eastAsia="Consolas" w:hAnsi="Consolas"/>
          <w:sz w:val="20"/>
          <w:szCs w:val="20"/>
        </w:rPr>
        <w:t xml:space="preserve">  fournit:</w:t>
      </w:r>
    </w:p>
    <w:p>
      <w:pPr>
        <w:shd w:fill="EAF1F8" w:val="clear"/>
      </w:pPr>
      <w:r>
        <w:rPr>
          <w:rFonts w:ascii="Consolas" w:cs="Consolas" w:eastAsia="Consolas" w:hAnsi="Consolas"/>
          <w:sz w:val="20"/>
          <w:szCs w:val="20"/>
        </w:rPr>
        <w:t xml:space="preserve">    - preuve_unicite</w:t>
      </w:r>
    </w:p>
    <w:p>
      <w:pPr>
        <w:shd w:fill="EAF1F8" w:val="clear"/>
      </w:pPr>
      <w:r>
        <w:rPr>
          <w:rFonts w:ascii="Consolas" w:cs="Consolas" w:eastAsia="Consolas" w:hAnsi="Consolas"/>
          <w:sz w:val="20"/>
          <w:szCs w:val="20"/>
        </w:rPr>
        <w:t xml:space="preserve">    - preuve_appartenance_toile_de_confiance</w:t>
      </w:r>
    </w:p>
    <w:p>
      <w:pPr>
        <w:shd w:fill="EAF1F8" w:val="clear"/>
      </w:pPr>
      <w:r>
        <w:rPr>
          <w:rFonts w:ascii="Consolas" w:cs="Consolas" w:eastAsia="Consolas" w:hAnsi="Consolas"/>
          <w:sz w:val="20"/>
          <w:szCs w:val="20"/>
        </w:rPr>
        <w:t xml:space="preserve">  ne_fournit_pas:</w:t>
      </w:r>
    </w:p>
    <w:p>
      <w:pPr>
        <w:shd w:fill="EAF1F8" w:val="clear"/>
      </w:pPr>
      <w:r>
        <w:rPr>
          <w:rFonts w:ascii="Consolas" w:cs="Consolas" w:eastAsia="Consolas" w:hAnsi="Consolas"/>
          <w:sz w:val="20"/>
          <w:szCs w:val="20"/>
        </w:rPr>
        <w:t xml:space="preserve">    - identite_civile</w:t>
      </w:r>
    </w:p>
    <w:p>
      <w:pPr>
        <w:shd w:fill="EAF1F8" w:val="clear"/>
      </w:pPr>
      <w:r>
        <w:rPr>
          <w:rFonts w:ascii="Consolas" w:cs="Consolas" w:eastAsia="Consolas" w:hAnsi="Consolas"/>
          <w:sz w:val="20"/>
          <w:szCs w:val="20"/>
        </w:rPr>
        <w:t xml:space="preserve">    - lien_au_bulletin_de_vote</w:t>
      </w:r>
    </w:p>
    <w:p>
      <w:pPr>
        <w:shd w:fill="EAF1F8" w:val="clear"/>
      </w:pPr>
      <w:r>
        <w:rPr>
          <w:rFonts w:ascii="Consolas" w:cs="Consolas" w:eastAsia="Consolas" w:hAnsi="Consolas"/>
          <w:sz w:val="20"/>
          <w:szCs w:val="20"/>
        </w:rPr>
        <w:t xml:space="preserve">  parametres:</w:t>
      </w:r>
    </w:p>
    <w:p>
      <w:pPr>
        <w:shd w:fill="EAF1F8" w:val="clear"/>
      </w:pPr>
      <w:r>
        <w:rPr>
          <w:rFonts w:ascii="Consolas" w:cs="Consolas" w:eastAsia="Consolas" w:hAnsi="Consolas"/>
          <w:sz w:val="20"/>
          <w:szCs w:val="20"/>
        </w:rPr>
        <w:t xml:space="preserve">    - noeud_duniter_source</w:t>
      </w:r>
    </w:p>
    <w:p>
      <w:pPr>
        <w:shd w:fill="EAF1F8" w:val="clear"/>
      </w:pPr>
      <w:r>
        <w:rPr>
          <w:rFonts w:ascii="Consolas" w:cs="Consolas" w:eastAsia="Consolas" w:hAnsi="Consolas"/>
          <w:sz w:val="20"/>
          <w:szCs w:val="20"/>
        </w:rPr>
        <w:t xml:space="preserve">    - anciennete_minimale_toile</w:t>
      </w:r>
    </w:p>
    <w:p>
      <w:pPr>
        <w:spacing w:after="160"/>
      </w:pPr>
      <w:r>
        <w:rPr>
          <w:b w:val="false"/>
          <w:bCs w:val="false"/>
          <w:i w:val="false"/>
          <w:iCs w:val="false"/>
        </w:rPr>
        <w:t xml:space="preserve"/>
      </w:r>
    </w:p>
    <w:p>
      <w:pPr>
        <w:spacing w:after="160"/>
      </w:pPr>
      <w:r>
        <w:rPr>
          <w:b w:val="false"/>
          <w:bCs w:val="false"/>
          <w:i w:val="false"/>
          <w:iCs w:val="false"/>
        </w:rPr>
        <w:t xml:space="preserve">Deux modules d'identité coexisteraient dès le départ, exactement comme trois méthodes de vote coexistent aujourd'hui (§8.2 du v0.2)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EAF1F8" w:val="clear"/>
            <w:tcMar>
              <w:top w:type="dxa" w:w="80"/>
              <w:left w:type="dxa" w:w="100"/>
              <w:bottom w:type="dxa" w:w="80"/>
              <w:right w:type="dxa" w:w="100"/>
            </w:tcMar>
          </w:tcPr>
          <w:p>
            <w:r>
              <w:rPr>
                <w:b/>
                <w:bCs/>
                <w:sz w:val="20"/>
                <w:szCs w:val="20"/>
              </w:rPr>
              <w:t xml:space="preserve">Module</w:t>
            </w:r>
          </w:p>
        </w:tc>
        <w:tc>
          <w:tcPr>
            <w:tcW w:type="dxa" w:w="4200"/>
            <w:shd w:fill="EAF1F8" w:val="clear"/>
            <w:tcMar>
              <w:top w:type="dxa" w:w="80"/>
              <w:left w:type="dxa" w:w="100"/>
              <w:bottom w:type="dxa" w:w="80"/>
              <w:right w:type="dxa" w:w="100"/>
            </w:tcMar>
          </w:tcPr>
          <w:p>
            <w:r>
              <w:rPr>
                <w:b/>
                <w:bCs/>
                <w:sz w:val="20"/>
                <w:szCs w:val="20"/>
              </w:rPr>
              <w:t xml:space="preserve">Principe</w:t>
            </w:r>
          </w:p>
        </w:tc>
        <w:tc>
          <w:tcPr>
            <w:tcW w:type="dxa" w:w="2600"/>
            <w:shd w:fill="EAF1F8" w:val="clear"/>
            <w:tcMar>
              <w:top w:type="dxa" w:w="80"/>
              <w:left w:type="dxa" w:w="100"/>
              <w:bottom w:type="dxa" w:w="80"/>
              <w:right w:type="dxa" w:w="100"/>
            </w:tcMar>
          </w:tcPr>
          <w:p>
            <w:r>
              <w:rPr>
                <w:b/>
                <w:bCs/>
                <w:sz w:val="20"/>
                <w:szCs w:val="20"/>
              </w:rPr>
              <w:t xml:space="preserve">Statut proposé</w:t>
            </w:r>
          </w:p>
        </w:tc>
      </w:tr>
      <w:tr>
        <w:tc>
          <w:tcPr>
            <w:tcW w:type="dxa" w:w="2200"/>
            <w:tcMar>
              <w:top w:type="dxa" w:w="80"/>
              <w:left w:type="dxa" w:w="100"/>
              <w:bottom w:type="dxa" w:w="80"/>
              <w:right w:type="dxa" w:w="100"/>
            </w:tcMar>
          </w:tcPr>
          <w:p>
            <w:r>
              <w:rPr>
                <w:b w:val="false"/>
                <w:bCs w:val="false"/>
                <w:sz w:val="20"/>
                <w:szCs w:val="20"/>
              </w:rPr>
              <w:t xml:space="preserve">identity.local</w:t>
            </w:r>
          </w:p>
        </w:tc>
        <w:tc>
          <w:tcPr>
            <w:tcW w:type="dxa" w:w="4200"/>
            <w:tcMar>
              <w:top w:type="dxa" w:w="80"/>
              <w:left w:type="dxa" w:w="100"/>
              <w:bottom w:type="dxa" w:w="80"/>
              <w:right w:type="dxa" w:w="100"/>
            </w:tcMar>
          </w:tcPr>
          <w:p>
            <w:r>
              <w:rPr>
                <w:b w:val="false"/>
                <w:bCs w:val="false"/>
                <w:sz w:val="20"/>
                <w:szCs w:val="20"/>
              </w:rPr>
              <w:t xml:space="preserve">Compte classique (email/téléphone), tel qu'implicitement prévu par le MVP actuel</w:t>
            </w:r>
          </w:p>
        </w:tc>
        <w:tc>
          <w:tcPr>
            <w:tcW w:type="dxa" w:w="2600"/>
            <w:tcMar>
              <w:top w:type="dxa" w:w="80"/>
              <w:left w:type="dxa" w:w="100"/>
              <w:bottom w:type="dxa" w:w="80"/>
              <w:right w:type="dxa" w:w="100"/>
            </w:tcMar>
          </w:tcPr>
          <w:p>
            <w:r>
              <w:rPr>
                <w:b w:val="false"/>
                <w:bCs w:val="false"/>
                <w:sz w:val="20"/>
                <w:szCs w:val="20"/>
              </w:rPr>
              <w:t xml:space="preserve">Par défaut, aucune dépendance externe</w:t>
            </w:r>
          </w:p>
        </w:tc>
      </w:tr>
      <w:tr>
        <w:tc>
          <w:tcPr>
            <w:tcW w:type="dxa" w:w="2200"/>
            <w:tcMar>
              <w:top w:type="dxa" w:w="80"/>
              <w:left w:type="dxa" w:w="100"/>
              <w:bottom w:type="dxa" w:w="80"/>
              <w:right w:type="dxa" w:w="100"/>
            </w:tcMar>
          </w:tcPr>
          <w:p>
            <w:r>
              <w:rPr>
                <w:b w:val="false"/>
                <w:bCs w:val="false"/>
                <w:sz w:val="20"/>
                <w:szCs w:val="20"/>
              </w:rPr>
              <w:t xml:space="preserve">identity.g1</w:t>
            </w:r>
          </w:p>
        </w:tc>
        <w:tc>
          <w:tcPr>
            <w:tcW w:type="dxa" w:w="4200"/>
            <w:tcMar>
              <w:top w:type="dxa" w:w="80"/>
              <w:left w:type="dxa" w:w="100"/>
              <w:bottom w:type="dxa" w:w="80"/>
              <w:right w:type="dxa" w:w="100"/>
            </w:tcMar>
          </w:tcPr>
          <w:p>
            <w:r>
              <w:rPr>
                <w:b w:val="false"/>
                <w:bCs w:val="false"/>
                <w:sz w:val="20"/>
                <w:szCs w:val="20"/>
              </w:rPr>
              <w:t xml:space="preserve">Vérifie qu'une clé publique Ğ1 fournie par le participant appartient à la toile de confiance active, en interrogeant un nœud Duniter public en lecture seule</w:t>
            </w:r>
          </w:p>
        </w:tc>
        <w:tc>
          <w:tcPr>
            <w:tcW w:type="dxa" w:w="2600"/>
            <w:tcMar>
              <w:top w:type="dxa" w:w="80"/>
              <w:left w:type="dxa" w:w="100"/>
              <w:bottom w:type="dxa" w:w="80"/>
              <w:right w:type="dxa" w:w="100"/>
            </w:tcMar>
          </w:tcPr>
          <w:p>
            <w:r>
              <w:rPr>
                <w:b w:val="false"/>
                <w:bCs w:val="false"/>
                <w:sz w:val="20"/>
                <w:szCs w:val="20"/>
              </w:rPr>
              <w:t xml:space="preserve">Optionnel, activable par organisation (§5 « Organization », propriété à ajouter)</w:t>
            </w:r>
          </w:p>
        </w:tc>
      </w:tr>
    </w:tbl>
    <w:p>
      <w:pPr>
        <w:pStyle w:val="Heading2"/>
        <w:spacing w:after="150" w:before="300"/>
      </w:pPr>
      <w:r>
        <w:t xml:space="preserve">3.2 Le principe de séparation identité/bulletin s'applique aussi à la Ğ1</w:t>
      </w:r>
    </w:p>
    <w:p>
      <w:pPr>
        <w:spacing w:after="160"/>
      </w:pPr>
      <w:r>
        <w:rPr>
          <w:b w:val="false"/>
          <w:bCs w:val="false"/>
          <w:i w:val="false"/>
          <w:iCs w:val="false"/>
        </w:rPr>
        <w:t xml:space="preserve">Le Cahier des charges v0.2 exige déjà (§13 « Secret du vote ») une séparation entre l'identité du votant et le contenu du bulletin pour les scrutins qui l'exigent. Ce principe s'étend sans modification à la Ğ1 : la clé publique Ğ1 sert uniquement à prouver, au moment de l'émargement, que le participant est un membre unique de la toile de confiance — elle n'est jamais stockée aux côtés du bulletin lui-même. C'est la même architecture « AuditEvent séparé des données de vote » déjà posée en §5.1, appliquée à une nouvelle source de preuve d'identité.</w:t>
      </w:r>
    </w:p>
    <w:p>
      <w:pPr>
        <w:pStyle w:val="Heading2"/>
        <w:spacing w:after="150" w:before="300"/>
      </w:pPr>
      <w:r>
        <w:t xml:space="preserve">3.3 Nouvel écran (extension de la liste du §10.1)</w:t>
      </w:r>
    </w:p>
    <w:p>
      <w:pPr>
        <w:spacing w:after="160"/>
      </w:pPr>
      <w:r>
        <w:rPr>
          <w:b w:val="false"/>
          <w:bCs w:val="false"/>
          <w:i w:val="false"/>
          <w:iCs w:val="false"/>
        </w:rPr>
        <w:t xml:space="preserve">Dans la continuité directe des seize écrans déjà définis, et en cohérence visuelle avec les planches fournies (sobriété, navigation latérale, hiérarchie claire)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00"/>
      </w:tblGrid>
      <w:tr>
        <w:trPr>
          <w:tblHeader/>
        </w:trPr>
        <w:tc>
          <w:tcPr>
            <w:tcW w:type="dxa" w:w="900"/>
            <w:shd w:fill="EAF1F8" w:val="clear"/>
            <w:tcMar>
              <w:top w:type="dxa" w:w="80"/>
              <w:left w:type="dxa" w:w="100"/>
              <w:bottom w:type="dxa" w:w="80"/>
              <w:right w:type="dxa" w:w="100"/>
            </w:tcMar>
          </w:tcPr>
          <w:p>
            <w:r>
              <w:rPr>
                <w:b/>
                <w:bCs/>
                <w:sz w:val="20"/>
                <w:szCs w:val="20"/>
              </w:rPr>
              <w:t xml:space="preserve">ID</w:t>
            </w:r>
          </w:p>
        </w:tc>
        <w:tc>
          <w:tcPr>
            <w:tcW w:type="dxa" w:w="3600"/>
            <w:shd w:fill="EAF1F8" w:val="clear"/>
            <w:tcMar>
              <w:top w:type="dxa" w:w="80"/>
              <w:left w:type="dxa" w:w="100"/>
              <w:bottom w:type="dxa" w:w="80"/>
              <w:right w:type="dxa" w:w="100"/>
            </w:tcMar>
          </w:tcPr>
          <w:p>
            <w:r>
              <w:rPr>
                <w:b/>
                <w:bCs/>
                <w:sz w:val="20"/>
                <w:szCs w:val="20"/>
              </w:rPr>
              <w:t xml:space="preserve">Écran</w:t>
            </w:r>
          </w:p>
        </w:tc>
        <w:tc>
          <w:tcPr>
            <w:tcW w:type="dxa" w:w="4500"/>
            <w:shd w:fill="EAF1F8" w:val="clear"/>
            <w:tcMar>
              <w:top w:type="dxa" w:w="80"/>
              <w:left w:type="dxa" w:w="100"/>
              <w:bottom w:type="dxa" w:w="80"/>
              <w:right w:type="dxa" w:w="100"/>
            </w:tcMar>
          </w:tcPr>
          <w:p>
            <w:r>
              <w:rPr>
                <w:b/>
                <w:bCs/>
                <w:sz w:val="20"/>
                <w:szCs w:val="20"/>
              </w:rPr>
              <w:t xml:space="preserve">Objectif</w:t>
            </w:r>
          </w:p>
        </w:tc>
      </w:tr>
      <w:tr>
        <w:tc>
          <w:tcPr>
            <w:tcW w:type="dxa" w:w="900"/>
            <w:tcMar>
              <w:top w:type="dxa" w:w="80"/>
              <w:left w:type="dxa" w:w="100"/>
              <w:bottom w:type="dxa" w:w="80"/>
              <w:right w:type="dxa" w:w="100"/>
            </w:tcMar>
          </w:tcPr>
          <w:p>
            <w:r>
              <w:rPr>
                <w:b w:val="false"/>
                <w:bCs w:val="false"/>
                <w:sz w:val="20"/>
                <w:szCs w:val="20"/>
              </w:rPr>
              <w:t xml:space="preserve">17</w:t>
            </w:r>
          </w:p>
        </w:tc>
        <w:tc>
          <w:tcPr>
            <w:tcW w:type="dxa" w:w="3600"/>
            <w:tcMar>
              <w:top w:type="dxa" w:w="80"/>
              <w:left w:type="dxa" w:w="100"/>
              <w:bottom w:type="dxa" w:w="80"/>
              <w:right w:type="dxa" w:w="100"/>
            </w:tcMar>
          </w:tcPr>
          <w:p>
            <w:r>
              <w:rPr>
                <w:b w:val="false"/>
                <w:bCs w:val="false"/>
                <w:sz w:val="20"/>
                <w:szCs w:val="20"/>
              </w:rPr>
              <w:t xml:space="preserve">Connexion / vérification d'identité</w:t>
            </w:r>
          </w:p>
        </w:tc>
        <w:tc>
          <w:tcPr>
            <w:tcW w:type="dxa" w:w="4500"/>
            <w:tcMar>
              <w:top w:type="dxa" w:w="80"/>
              <w:left w:type="dxa" w:w="100"/>
              <w:bottom w:type="dxa" w:w="80"/>
              <w:right w:type="dxa" w:w="100"/>
            </w:tcMar>
          </w:tcPr>
          <w:p>
            <w:r>
              <w:rPr>
                <w:b w:val="false"/>
                <w:bCs w:val="false"/>
                <w:sz w:val="20"/>
                <w:szCs w:val="20"/>
              </w:rPr>
              <w:t xml:space="preserve">Choisir la méthode d'identité pour une campagne : compte classique, ou « Se connecter avec Ğ1 » (affichage du statut de membre de la toile de confiance sans exposer de solde ni de transaction, hors de propos pour un vote)</w:t>
            </w:r>
          </w:p>
        </w:tc>
      </w:tr>
      <w:tr>
        <w:tc>
          <w:tcPr>
            <w:tcW w:type="dxa" w:w="900"/>
            <w:tcMar>
              <w:top w:type="dxa" w:w="80"/>
              <w:left w:type="dxa" w:w="100"/>
              <w:bottom w:type="dxa" w:w="80"/>
              <w:right w:type="dxa" w:w="100"/>
            </w:tcMar>
          </w:tcPr>
          <w:p>
            <w:r>
              <w:rPr>
                <w:b w:val="false"/>
                <w:bCs w:val="false"/>
                <w:sz w:val="20"/>
                <w:szCs w:val="20"/>
              </w:rPr>
              <w:t xml:space="preserve">18</w:t>
            </w:r>
          </w:p>
        </w:tc>
        <w:tc>
          <w:tcPr>
            <w:tcW w:type="dxa" w:w="3600"/>
            <w:tcMar>
              <w:top w:type="dxa" w:w="80"/>
              <w:left w:type="dxa" w:w="100"/>
              <w:bottom w:type="dxa" w:w="80"/>
              <w:right w:type="dxa" w:w="100"/>
            </w:tcMar>
          </w:tcPr>
          <w:p>
            <w:r>
              <w:rPr>
                <w:b w:val="false"/>
                <w:bCs w:val="false"/>
                <w:sz w:val="20"/>
                <w:szCs w:val="20"/>
              </w:rPr>
              <w:t xml:space="preserve">Paramètres d'organisation — identité</w:t>
            </w:r>
          </w:p>
        </w:tc>
        <w:tc>
          <w:tcPr>
            <w:tcW w:type="dxa" w:w="4500"/>
            <w:tcMar>
              <w:top w:type="dxa" w:w="80"/>
              <w:left w:type="dxa" w:w="100"/>
              <w:bottom w:type="dxa" w:w="80"/>
              <w:right w:type="dxa" w:w="100"/>
            </w:tcMar>
          </w:tcPr>
          <w:p>
            <w:r>
              <w:rPr>
                <w:b w:val="false"/>
                <w:bCs w:val="false"/>
                <w:sz w:val="20"/>
                <w:szCs w:val="20"/>
              </w:rPr>
              <w:t xml:space="preserve">Activer/désactiver les modules d'identité disponibles pour les campagnes de l'organisation, à l'image de l'écran « 16. Modules »</w:t>
            </w:r>
          </w:p>
        </w:tc>
      </w:tr>
    </w:tbl>
    <w:p>
      <w:pPr>
        <w:pStyle w:val="Heading1"/>
        <w:spacing w:after="200" w:before="400"/>
      </w:pPr>
      <w:r>
        <w:t xml:space="preserve">4. Trajectoire de décentralisation (« web3 ») à terme</w:t>
      </w:r>
    </w:p>
    <w:p>
      <w:pPr>
        <w:spacing w:after="160"/>
      </w:pPr>
      <w:r>
        <w:rPr>
          <w:b w:val="false"/>
          <w:bCs w:val="false"/>
          <w:i w:val="false"/>
          <w:iCs w:val="false"/>
        </w:rPr>
        <w:t xml:space="preserve">Ce document distingue volontairement deux horizons, pour ne pas engager le projet au-delà de ce qui est réellement nécessaire aujourd'hui.</w:t>
      </w:r>
    </w:p>
    <w:p>
      <w:pPr>
        <w:pStyle w:val="Heading2"/>
        <w:spacing w:after="150" w:before="300"/>
      </w:pPr>
      <w:r>
        <w:t xml:space="preserve">4.1 Court terme : lecture seule, aucune dépendance blockchain pour AgoraVote lui-même</w:t>
      </w:r>
    </w:p>
    <w:p>
      <w:pPr>
        <w:spacing w:after="160"/>
      </w:pPr>
      <w:r>
        <w:rPr>
          <w:b w:val="false"/>
          <w:bCs w:val="false"/>
          <w:i w:val="false"/>
          <w:iCs w:val="false"/>
        </w:rPr>
        <w:t xml:space="preserve">Vérifier qu'une clé publique appartient à la toile de confiance Ğ1 ne demande qu'une requête en lecture vers un nœud Duniter public — AgoraVote n'a besoin ni de porte-monnaie, ni de frais de transaction, ni d'écrire quoi que ce soit sur un registre. Cette étape reste donc dans l'esprit « auto-hébergeable / fonctionnant en local » du §1.1 : la dépendance externe est optionnelle et n'affecte que les organisations qui activent le module identity.g1.</w:t>
      </w:r>
    </w:p>
    <w:p>
      <w:pPr>
        <w:pStyle w:val="Heading2"/>
        <w:spacing w:after="150" w:before="300"/>
      </w:pPr>
      <w:r>
        <w:t xml:space="preserve">4.2 Plus long terme : ancrage vérifiable des résultats</w:t>
      </w:r>
    </w:p>
    <w:p>
      <w:pPr>
        <w:spacing w:after="160"/>
      </w:pPr>
      <w:r>
        <w:rPr>
          <w:b w:val="false"/>
          <w:bCs w:val="false"/>
          <w:i w:val="false"/>
          <w:iCs w:val="false"/>
        </w:rPr>
        <w:t xml:space="preserve">Le Cahier des charges v0.2 cite déjà Belenios et Helios (§2.2) comme références de vote vérifiable par chiffrement. Une évolution cohérente, à explorer sans engagement de calendrier, consisterait à publier une empreinte (hash) de chaque ResultSet clos (§5 « ResultSet ») sur un registre public — permettant à quiconque de vérifier qu'un résultat affiché aujourd'hui n'a pas été modifié depuis sa clôture, sans dépendre de la seule bonne foi de l'hébergeur d'AgoraVote. Substrate, sur lequel Duniter se reconstruit, est un candidat technique à surveiller pour cet usage, aux côtés d'alternatives plus généralistes.</w:t>
      </w:r>
    </w:p>
    <w:p>
      <w:pPr>
        <w:pStyle w:val="Heading2"/>
        <w:spacing w:after="150" w:before="300"/>
      </w:pPr>
      <w:r>
        <w:t xml:space="preserve">4.3 Garde-fou explicite</w:t>
      </w:r>
    </w:p>
    <w:p>
      <w:pPr>
        <w:spacing w:after="160"/>
      </w:pPr>
      <w:r>
        <w:rPr>
          <w:b/>
          <w:bCs/>
          <w:i w:val="false"/>
          <w:iCs w:val="false"/>
        </w:rPr>
        <w:t xml:space="preserve">Aucune fonction cœur d'AgoraVote (calcul d'un scrutin, validité d'un bulletin, statistiques) ne doit un jour dépendre de la disponibilité d'une chaîne de blocs tierce. Le web3 reste, dans cette trajectoire, une couche de PREUVE optionnelle superposée à un noyau qui continue de fonctionner seul, hors ligne, auto-hébergé — exactement comme le noyau Rust déjà construit (§12 du v0.2) fonctionne aujourd'hui sans aucune de ces briques.</w:t>
      </w:r>
    </w:p>
    <w:p>
      <w:pPr>
        <w:pStyle w:val="Heading1"/>
        <w:spacing w:after="200" w:before="400"/>
      </w:pPr>
      <w:r>
        <w:t xml:space="preserve">5. Mise à jour de la feuille de route (§16 du v0.2)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AF1F8" w:val="clear"/>
            <w:tcMar>
              <w:top w:type="dxa" w:w="80"/>
              <w:left w:type="dxa" w:w="100"/>
              <w:bottom w:type="dxa" w:w="80"/>
              <w:right w:type="dxa" w:w="100"/>
            </w:tcMar>
          </w:tcPr>
          <w:p>
            <w:r>
              <w:rPr>
                <w:b/>
                <w:bCs/>
                <w:sz w:val="20"/>
                <w:szCs w:val="20"/>
              </w:rPr>
              <w:t xml:space="preserve">Phase</w:t>
            </w:r>
          </w:p>
        </w:tc>
        <w:tc>
          <w:tcPr>
            <w:tcW w:type="dxa" w:w="6000"/>
            <w:shd w:fill="EAF1F8" w:val="clear"/>
            <w:tcMar>
              <w:top w:type="dxa" w:w="80"/>
              <w:left w:type="dxa" w:w="100"/>
              <w:bottom w:type="dxa" w:w="80"/>
              <w:right w:type="dxa" w:w="100"/>
            </w:tcMar>
          </w:tcPr>
          <w:p>
            <w:r>
              <w:rPr>
                <w:b/>
                <w:bCs/>
                <w:sz w:val="20"/>
                <w:szCs w:val="20"/>
              </w:rPr>
              <w:t xml:space="preserve">Ajout proposé</w:t>
            </w:r>
          </w:p>
        </w:tc>
      </w:tr>
      <w:tr>
        <w:tc>
          <w:tcPr>
            <w:tcW w:type="dxa" w:w="3000"/>
            <w:tcMar>
              <w:top w:type="dxa" w:w="80"/>
              <w:left w:type="dxa" w:w="100"/>
              <w:bottom w:type="dxa" w:w="80"/>
              <w:right w:type="dxa" w:w="100"/>
            </w:tcMar>
          </w:tcPr>
          <w:p>
            <w:r>
              <w:rPr>
                <w:b w:val="false"/>
                <w:bCs w:val="false"/>
                <w:sz w:val="20"/>
                <w:szCs w:val="20"/>
              </w:rPr>
              <w:t xml:space="preserve">4 — Démocratie avancée</w:t>
            </w:r>
          </w:p>
        </w:tc>
        <w:tc>
          <w:tcPr>
            <w:tcW w:type="dxa" w:w="6000"/>
            <w:tcMar>
              <w:top w:type="dxa" w:w="80"/>
              <w:left w:type="dxa" w:w="100"/>
              <w:bottom w:type="dxa" w:w="80"/>
              <w:right w:type="dxa" w:w="100"/>
            </w:tcMar>
          </w:tcPr>
          <w:p>
            <w:r>
              <w:rPr>
                <w:b w:val="false"/>
                <w:bCs w:val="false"/>
                <w:sz w:val="20"/>
                <w:szCs w:val="20"/>
              </w:rPr>
              <w:t xml:space="preserve">Étude de faisabilité du module identity.g1 (lecture seule, nœud Duniter public) ; définition du contrat IdentityProvider</w:t>
            </w:r>
          </w:p>
        </w:tc>
      </w:tr>
      <w:tr>
        <w:tc>
          <w:tcPr>
            <w:tcW w:type="dxa" w:w="3000"/>
            <w:tcMar>
              <w:top w:type="dxa" w:w="80"/>
              <w:left w:type="dxa" w:w="100"/>
              <w:bottom w:type="dxa" w:w="80"/>
              <w:right w:type="dxa" w:w="100"/>
            </w:tcMar>
          </w:tcPr>
          <w:p>
            <w:r>
              <w:rPr>
                <w:b w:val="false"/>
                <w:bCs w:val="false"/>
                <w:sz w:val="20"/>
                <w:szCs w:val="20"/>
              </w:rPr>
              <w:t xml:space="preserve">6 — Décentralisation (nouvelle)</w:t>
            </w:r>
          </w:p>
        </w:tc>
        <w:tc>
          <w:tcPr>
            <w:tcW w:type="dxa" w:w="6000"/>
            <w:tcMar>
              <w:top w:type="dxa" w:w="80"/>
              <w:left w:type="dxa" w:w="100"/>
              <w:bottom w:type="dxa" w:w="80"/>
              <w:right w:type="dxa" w:w="100"/>
            </w:tcMar>
          </w:tcPr>
          <w:p>
            <w:r>
              <w:rPr>
                <w:b w:val="false"/>
                <w:bCs w:val="false"/>
                <w:sz w:val="20"/>
                <w:szCs w:val="20"/>
              </w:rPr>
              <w:t xml:space="preserve">Ancrage vérifiable des ResultSet sur un registre public ; veille technique Substrate et alternatives ; jamais de dépendance obligatoire pour le noyau</w:t>
            </w:r>
          </w:p>
        </w:tc>
      </w:tr>
    </w:tbl>
    <w:p>
      <w:pPr>
        <w:pStyle w:val="Heading1"/>
        <w:spacing w:after="200" w:before="400"/>
      </w:pPr>
      <w:r>
        <w:t xml:space="preserve">6. Glossaire complémentaire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AF1F8" w:val="clear"/>
            <w:tcMar>
              <w:top w:type="dxa" w:w="80"/>
              <w:left w:type="dxa" w:w="100"/>
              <w:bottom w:type="dxa" w:w="80"/>
              <w:right w:type="dxa" w:w="100"/>
            </w:tcMar>
          </w:tcPr>
          <w:p>
            <w:r>
              <w:rPr>
                <w:b/>
                <w:bCs/>
                <w:sz w:val="20"/>
                <w:szCs w:val="20"/>
              </w:rPr>
              <w:t xml:space="preserve">Terme</w:t>
            </w:r>
          </w:p>
        </w:tc>
        <w:tc>
          <w:tcPr>
            <w:tcW w:type="dxa" w:w="6400"/>
            <w:shd w:fill="EAF1F8" w:val="clear"/>
            <w:tcMar>
              <w:top w:type="dxa" w:w="80"/>
              <w:left w:type="dxa" w:w="100"/>
              <w:bottom w:type="dxa" w:w="80"/>
              <w:right w:type="dxa" w:w="100"/>
            </w:tcMar>
          </w:tcPr>
          <w:p>
            <w:r>
              <w:rPr>
                <w:b/>
                <w:bCs/>
                <w:sz w:val="20"/>
                <w:szCs w:val="20"/>
              </w:rPr>
              <w:t xml:space="preserve">Définition</w:t>
            </w:r>
          </w:p>
        </w:tc>
      </w:tr>
      <w:tr>
        <w:tc>
          <w:tcPr>
            <w:tcW w:type="dxa" w:w="2600"/>
            <w:tcMar>
              <w:top w:type="dxa" w:w="80"/>
              <w:left w:type="dxa" w:w="100"/>
              <w:bottom w:type="dxa" w:w="80"/>
              <w:right w:type="dxa" w:w="100"/>
            </w:tcMar>
          </w:tcPr>
          <w:p>
            <w:r>
              <w:rPr>
                <w:b w:val="false"/>
                <w:bCs w:val="false"/>
                <w:sz w:val="20"/>
                <w:szCs w:val="20"/>
              </w:rPr>
              <w:t xml:space="preserve">Ğ1 (« june »)</w:t>
            </w:r>
          </w:p>
        </w:tc>
        <w:tc>
          <w:tcPr>
            <w:tcW w:type="dxa" w:w="6400"/>
            <w:tcMar>
              <w:top w:type="dxa" w:w="80"/>
              <w:left w:type="dxa" w:w="100"/>
              <w:bottom w:type="dxa" w:w="80"/>
              <w:right w:type="dxa" w:w="100"/>
            </w:tcMar>
          </w:tcPr>
          <w:p>
            <w:r>
              <w:rPr>
                <w:b w:val="false"/>
                <w:bCs w:val="false"/>
                <w:sz w:val="20"/>
                <w:szCs w:val="20"/>
              </w:rPr>
              <w:t xml:space="preserve">Monnaie libre décentralisée, dont le mécanisme d'identité (la toile de confiance) intéresse ce document indépendamment de son usage monétaire.</w:t>
            </w:r>
          </w:p>
        </w:tc>
      </w:tr>
      <w:tr>
        <w:tc>
          <w:tcPr>
            <w:tcW w:type="dxa" w:w="2600"/>
            <w:tcMar>
              <w:top w:type="dxa" w:w="80"/>
              <w:left w:type="dxa" w:w="100"/>
              <w:bottom w:type="dxa" w:w="80"/>
              <w:right w:type="dxa" w:w="100"/>
            </w:tcMar>
          </w:tcPr>
          <w:p>
            <w:r>
              <w:rPr>
                <w:b w:val="false"/>
                <w:bCs w:val="false"/>
                <w:sz w:val="20"/>
                <w:szCs w:val="20"/>
              </w:rPr>
              <w:t xml:space="preserve">Duniter</w:t>
            </w:r>
          </w:p>
        </w:tc>
        <w:tc>
          <w:tcPr>
            <w:tcW w:type="dxa" w:w="6400"/>
            <w:tcMar>
              <w:top w:type="dxa" w:w="80"/>
              <w:left w:type="dxa" w:w="100"/>
              <w:bottom w:type="dxa" w:w="80"/>
              <w:right w:type="dxa" w:w="100"/>
            </w:tcMar>
          </w:tcPr>
          <w:p>
            <w:r>
              <w:rPr>
                <w:b w:val="false"/>
                <w:bCs w:val="false"/>
                <w:sz w:val="20"/>
                <w:szCs w:val="20"/>
              </w:rPr>
              <w:t xml:space="preserve">Logiciel libre pair-à-pair qui fait fonctionner la Ğ1 et gère sa toile de confiance.</w:t>
            </w:r>
          </w:p>
        </w:tc>
      </w:tr>
      <w:tr>
        <w:tc>
          <w:tcPr>
            <w:tcW w:type="dxa" w:w="2600"/>
            <w:tcMar>
              <w:top w:type="dxa" w:w="80"/>
              <w:left w:type="dxa" w:w="100"/>
              <w:bottom w:type="dxa" w:w="80"/>
              <w:right w:type="dxa" w:w="100"/>
            </w:tcMar>
          </w:tcPr>
          <w:p>
            <w:r>
              <w:rPr>
                <w:b w:val="false"/>
                <w:bCs w:val="false"/>
                <w:sz w:val="20"/>
                <w:szCs w:val="20"/>
              </w:rPr>
              <w:t xml:space="preserve">Toile de confiance (web of trust)</w:t>
            </w:r>
          </w:p>
        </w:tc>
        <w:tc>
          <w:tcPr>
            <w:tcW w:type="dxa" w:w="6400"/>
            <w:tcMar>
              <w:top w:type="dxa" w:w="80"/>
              <w:left w:type="dxa" w:w="100"/>
              <w:bottom w:type="dxa" w:w="80"/>
              <w:right w:type="dxa" w:w="100"/>
            </w:tcMar>
          </w:tcPr>
          <w:p>
            <w:r>
              <w:rPr>
                <w:b w:val="false"/>
                <w:bCs w:val="false"/>
                <w:sz w:val="20"/>
                <w:szCs w:val="20"/>
              </w:rPr>
              <w:t xml:space="preserve">Réseau de certifications entre membres établissant qu'une identité est unique et légitime, sans autorité centrale.</w:t>
            </w:r>
          </w:p>
        </w:tc>
      </w:tr>
      <w:tr>
        <w:tc>
          <w:tcPr>
            <w:tcW w:type="dxa" w:w="2600"/>
            <w:tcMar>
              <w:top w:type="dxa" w:w="80"/>
              <w:left w:type="dxa" w:w="100"/>
              <w:bottom w:type="dxa" w:w="80"/>
              <w:right w:type="dxa" w:w="100"/>
            </w:tcMar>
          </w:tcPr>
          <w:p>
            <w:r>
              <w:rPr>
                <w:b w:val="false"/>
                <w:bCs w:val="false"/>
                <w:sz w:val="20"/>
                <w:szCs w:val="20"/>
              </w:rPr>
              <w:t xml:space="preserve">Attaque Sybil</w:t>
            </w:r>
          </w:p>
        </w:tc>
        <w:tc>
          <w:tcPr>
            <w:tcW w:type="dxa" w:w="6400"/>
            <w:tcMar>
              <w:top w:type="dxa" w:w="80"/>
              <w:left w:type="dxa" w:w="100"/>
              <w:bottom w:type="dxa" w:w="80"/>
              <w:right w:type="dxa" w:w="100"/>
            </w:tcMar>
          </w:tcPr>
          <w:p>
            <w:r>
              <w:rPr>
                <w:b w:val="false"/>
                <w:bCs w:val="false"/>
                <w:sz w:val="20"/>
                <w:szCs w:val="20"/>
              </w:rPr>
              <w:t xml:space="preserve">Tentative de créer plusieurs identités pour un même individu afin de fausser un vote ou un système de réputation.</w:t>
            </w:r>
          </w:p>
        </w:tc>
      </w:tr>
      <w:tr>
        <w:tc>
          <w:tcPr>
            <w:tcW w:type="dxa" w:w="2600"/>
            <w:tcMar>
              <w:top w:type="dxa" w:w="80"/>
              <w:left w:type="dxa" w:w="100"/>
              <w:bottom w:type="dxa" w:w="80"/>
              <w:right w:type="dxa" w:w="100"/>
            </w:tcMar>
          </w:tcPr>
          <w:p>
            <w:r>
              <w:rPr>
                <w:b w:val="false"/>
                <w:bCs w:val="false"/>
                <w:sz w:val="20"/>
                <w:szCs w:val="20"/>
              </w:rPr>
              <w:t xml:space="preserve">Dividende universel (DU)</w:t>
            </w:r>
          </w:p>
        </w:tc>
        <w:tc>
          <w:tcPr>
            <w:tcW w:type="dxa" w:w="6400"/>
            <w:tcMar>
              <w:top w:type="dxa" w:w="80"/>
              <w:left w:type="dxa" w:w="100"/>
              <w:bottom w:type="dxa" w:w="80"/>
              <w:right w:type="dxa" w:w="100"/>
            </w:tcMar>
          </w:tcPr>
          <w:p>
            <w:r>
              <w:rPr>
                <w:b w:val="false"/>
                <w:bCs w:val="false"/>
                <w:sz w:val="20"/>
                <w:szCs w:val="20"/>
              </w:rPr>
              <w:t xml:space="preserve">Mécanisme d'émission monétaire de la Ğ1 ; non directement pertinent pour AgoraVote, mentionné pour comprendre le contexte.</w:t>
            </w:r>
          </w:p>
        </w:tc>
      </w:tr>
      <w:tr>
        <w:tc>
          <w:tcPr>
            <w:tcW w:type="dxa" w:w="2600"/>
            <w:tcMar>
              <w:top w:type="dxa" w:w="80"/>
              <w:left w:type="dxa" w:w="100"/>
              <w:bottom w:type="dxa" w:w="80"/>
              <w:right w:type="dxa" w:w="100"/>
            </w:tcMar>
          </w:tcPr>
          <w:p>
            <w:r>
              <w:rPr>
                <w:b w:val="false"/>
                <w:bCs w:val="false"/>
                <w:sz w:val="20"/>
                <w:szCs w:val="20"/>
              </w:rPr>
              <w:t xml:space="preserve">Substrate</w:t>
            </w:r>
          </w:p>
        </w:tc>
        <w:tc>
          <w:tcPr>
            <w:tcW w:type="dxa" w:w="6400"/>
            <w:tcMar>
              <w:top w:type="dxa" w:w="80"/>
              <w:left w:type="dxa" w:w="100"/>
              <w:bottom w:type="dxa" w:w="80"/>
              <w:right w:type="dxa" w:w="100"/>
            </w:tcMar>
          </w:tcPr>
          <w:p>
            <w:r>
              <w:rPr>
                <w:b w:val="false"/>
                <w:bCs w:val="false"/>
                <w:sz w:val="20"/>
                <w:szCs w:val="20"/>
              </w:rPr>
              <w:t xml:space="preserve">Framework de développement de blockchains sur lequel Duniter se reconstruit ; permet une gouvernance « on-chain ».</w:t>
            </w:r>
          </w:p>
        </w:tc>
      </w:tr>
      <w:tr>
        <w:tc>
          <w:tcPr>
            <w:tcW w:type="dxa" w:w="2600"/>
            <w:tcMar>
              <w:top w:type="dxa" w:w="80"/>
              <w:left w:type="dxa" w:w="100"/>
              <w:bottom w:type="dxa" w:w="80"/>
              <w:right w:type="dxa" w:w="100"/>
            </w:tcMar>
          </w:tcPr>
          <w:p>
            <w:r>
              <w:rPr>
                <w:b w:val="false"/>
                <w:bCs w:val="false"/>
                <w:sz w:val="20"/>
                <w:szCs w:val="20"/>
              </w:rPr>
              <w:t xml:space="preserve">Ancrage (anchoring)</w:t>
            </w:r>
          </w:p>
        </w:tc>
        <w:tc>
          <w:tcPr>
            <w:tcW w:type="dxa" w:w="6400"/>
            <w:tcMar>
              <w:top w:type="dxa" w:w="80"/>
              <w:left w:type="dxa" w:w="100"/>
              <w:bottom w:type="dxa" w:w="80"/>
              <w:right w:type="dxa" w:w="100"/>
            </w:tcMar>
          </w:tcPr>
          <w:p>
            <w:r>
              <w:rPr>
                <w:b w:val="false"/>
                <w:bCs w:val="false"/>
                <w:sz w:val="20"/>
                <w:szCs w:val="20"/>
              </w:rPr>
              <w:t xml:space="preserve">Publication d'une empreinte de données sur un registre public pour en prouver l'intégrité a posteriori, sans y stocker les données elles-mêmes.</w:t>
            </w:r>
          </w:p>
        </w:tc>
      </w:tr>
    </w:tbl>
    <w:p>
      <w:pPr>
        <w:pStyle w:val="Heading1"/>
        <w:spacing w:after="200" w:before="400"/>
      </w:pPr>
      <w:r>
        <w:t xml:space="preserve">7. Références</w:t>
      </w:r>
    </w:p>
    <w:p>
      <w:pPr>
        <w:spacing w:after="160"/>
      </w:pPr>
      <w:r>
        <w:t xml:space="preserve">Duniter — présentation générale — </w:t>
      </w:r>
      <w:hyperlink w:history="1" r:id="rIdklox5rlivqtpk4wbng1gu">
        <w:r>
          <w:rPr>
            <w:rStyle w:val="Hyperlink"/>
          </w:rPr>
          <w:t xml:space="preserve">duniter.org</w:t>
        </w:r>
      </w:hyperlink>
    </w:p>
    <w:p>
      <w:pPr>
        <w:spacing w:after="160"/>
      </w:pPr>
      <w:r>
        <w:t xml:space="preserve">Duniter — documentation Ğ1v2 — </w:t>
      </w:r>
      <w:hyperlink w:history="1" r:id="rIdgqotyry1zbpkqbs8pledg">
        <w:r>
          <w:rPr>
            <w:rStyle w:val="Hyperlink"/>
          </w:rPr>
          <w:t xml:space="preserve">duniter.org/wiki/g1v2</w:t>
        </w:r>
      </w:hyperlink>
    </w:p>
    <w:p>
      <w:pPr>
        <w:spacing w:after="160"/>
      </w:pPr>
      <w:r>
        <w:t xml:space="preserve">Duniter — page projet et migration Substrate — </w:t>
      </w:r>
      <w:hyperlink w:history="1" r:id="rIdnjydh3nr_rxewt5tyacaq">
        <w:r>
          <w:rPr>
            <w:rStyle w:val="Hyperlink"/>
          </w:rPr>
          <w:t xml:space="preserve">git.duniter.org</w:t>
        </w:r>
      </w:hyperlink>
    </w:p>
    <w:p>
      <w:pPr>
        <w:pBdr>
          <w:bottom w:val="single" w:color="AAAAAA" w:sz="6" w:space="1"/>
        </w:pBdr>
        <w:spacing w:after="200"/>
      </w:pPr>
    </w:p>
    <w:p>
      <w:pPr>
        <w:spacing w:after="160"/>
      </w:pPr>
      <w:r>
        <w:rPr>
          <w:b w:val="false"/>
          <w:bCs w:val="false"/>
          <w:i/>
          <w:iCs/>
        </w:rPr>
        <w:t xml:space="preserve">Document de travail — version 0.3 — addendum au Cahier des charges v0.2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Calibri" w:cs="Calibri" w:eastAsia="Calibri" w:hAnsi="Calibri"/>
      <w:b/>
      <w:bCs/>
      <w:color w:val="1F4E79"/>
      <w:sz w:val="32"/>
      <w:szCs w:val="32"/>
    </w:rPr>
  </w:style>
  <w:style w:type="paragraph" w:styleId="Heading2">
    <w:name w:val="Heading 2"/>
    <w:basedOn w:val="Normal"/>
    <w:next w:val="Normal"/>
    <w:pPr>
      <w:spacing w:after="150" w:before="300"/>
      <w:outlineLvl w:val="1"/>
    </w:pPr>
    <w:rPr>
      <w:rFonts w:ascii="Calibri" w:cs="Calibri" w:eastAsia="Calibri" w:hAnsi="Calibri"/>
      <w:b/>
      <w:bCs/>
      <w:color w:val="2E75B6"/>
      <w:sz w:val="26"/>
      <w:szCs w:val="26"/>
    </w:rPr>
  </w:style>
  <w:style w:type="paragraph" w:styleId="Heading3">
    <w:name w:val="Heading 3"/>
    <w:basedOn w:val="Normal"/>
    <w:next w:val="Normal"/>
    <w:pPr>
      <w:spacing w:after="100" w:before="200"/>
      <w:outlineLvl w:val="2"/>
    </w:pPr>
    <w:rPr>
      <w:rFonts w:ascii="Calibri" w:cs="Calibri" w:eastAsia="Calibri" w:hAnsi="Calibri"/>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lox5rlivqtpk4wbng1gu" Type="http://schemas.openxmlformats.org/officeDocument/2006/relationships/hyperlink" Target="https://duniter.org/g1" TargetMode="External"/><Relationship Id="rIdgqotyry1zbpkqbs8pledg" Type="http://schemas.openxmlformats.org/officeDocument/2006/relationships/hyperlink" Target="https://duniter.org/wiki/g1v2" TargetMode="External"/><Relationship Id="rIdnjydh3nr_rxewt5tyacaq" Type="http://schemas.openxmlformats.org/officeDocument/2006/relationships/hyperlink" Target="https://git.duniter.org/websites/duniter_website_fr_v2"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2026-09-09T18:21:34.837Z</dcterms:created>
  <dcterms:modified xsi:type="dcterms:W3CDTF">2026-09-09T18:21:34.848Z</dcterms:modified>
</cp:coreProperties>
</file>

<file path=docProps/custom.xml><?xml version="1.0" encoding="utf-8"?>
<Properties xmlns="http://schemas.openxmlformats.org/officeDocument/2006/custom-properties" xmlns:vt="http://schemas.openxmlformats.org/officeDocument/2006/docPropsVTypes"/>
</file>