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44"/>
          <w:szCs w:val="44"/>
        </w:rPr>
        <w:t xml:space="preserve">CAHIER DES CHARGES</w:t>
      </w:r>
    </w:p>
    <w:p>
      <w:pPr>
        <w:spacing w:after="200" w:before="200"/>
        <w:jc w:val="center"/>
      </w:pPr>
      <w:r>
        <w:rPr>
          <w:color w:val="2E75B6"/>
          <w:sz w:val="30"/>
          <w:szCs w:val="30"/>
        </w:rPr>
        <w:t xml:space="preserve">Plateforme libre de sondage, consultation, vote et analyse</w:t>
      </w:r>
    </w:p>
    <w:p>
      <w:pPr>
        <w:spacing w:after="100"/>
        <w:jc w:val="center"/>
      </w:pPr>
      <w:r>
        <w:rPr>
          <w:b/>
          <w:bCs/>
          <w:sz w:val="26"/>
          <w:szCs w:val="26"/>
        </w:rPr>
        <w:t xml:space="preserve">Projet de travail : AgoraVote</w:t>
      </w:r>
    </w:p>
    <w:p>
      <w:pPr>
        <w:spacing w:after="100"/>
        <w:jc w:val="center"/>
      </w:pPr>
      <w:r>
        <w:rPr>
          <w:i/>
          <w:iCs/>
          <w:sz w:val="20"/>
          <w:szCs w:val="20"/>
        </w:rPr>
        <w:t xml:space="preserve">Nom provisoire — à confirmer</w:t>
      </w:r>
    </w:p>
    <w:p>
      <w:pPr>
        <w:spacing w:after="600"/>
        <w:jc w:val="center"/>
      </w:pPr>
      <w:r>
        <w:rPr>
          <w:i/>
          <w:iCs/>
          <w:sz w:val="20"/>
          <w:szCs w:val="20"/>
        </w:rPr>
        <w:t xml:space="preserve">Version 0.2 — cadrage fonctionnel, architecture et vocabulaire</w:t>
      </w:r>
    </w:p>
    <w:p>
      <w:pPr>
        <w:spacing w:after="100"/>
        <w:jc w:val="center"/>
      </w:pPr>
      <w:r>
        <w:rPr>
          <w:i/>
          <w:iCs/>
          <w:color w:val="2E75B6"/>
          <w:sz w:val="20"/>
          <w:szCs w:val="20"/>
        </w:rPr>
        <w:t xml:space="preserve">Mission déclarée : outiller l'éveil démocratique des citoyens par des outils libres, compréhensibles et vérifiables.</w:t>
      </w:r>
    </w:p>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0. Note de version 0.2</w:t>
      </w:r>
    </w:p>
    <w:p>
      <w:pPr>
        <w:spacing w:after="160"/>
        <w:jc w:val="left"/>
      </w:pPr>
      <w:r>
        <w:rPr>
          <w:b w:val="false"/>
          <w:bCs w:val="false"/>
          <w:i w:val="false"/>
          <w:iCs w:val="false"/>
        </w:rPr>
        <w:t xml:space="preserve">Cette version enrichit la v0.1 sur trois plans, en réponse à la demande de cadrage : (1) un panorama élargi des outils et standards de référence (calcul électoral, visualisation), (2) un glossaire statistique et électoral complet, (3) une architecture des modules/plugins précisée pour un noyau Rust. La structure et les décisions déjà validées en v0.1 sont conservées ; les apports nouveaux sont intégrés directement dans les sections concernées plutôt qu'en annexe, pour garder un document unique de référence.</w:t>
      </w:r>
    </w:p>
    <w:p>
      <w:pPr>
        <w:spacing w:after="160"/>
        <w:jc w:val="left"/>
      </w:pPr>
      <w:r>
        <w:rPr>
          <w:b w:val="false"/>
          <w:bCs w:val="false"/>
          <w:i w:val="false"/>
          <w:iCs w:val="false"/>
        </w:rPr>
        <w:t xml:space="preserve">Les six planches d'interface fournies (tableau de bord, éditeur de formulaire, configuration de scrutin, vote citoyen, résultats en direct, analyse statistique) sont utilisées comme référence UX documentée en section 10 et confirment l'alignement entre la liste d'écrans définie en v0.1 et la direction visuelle du produit.</w:t>
      </w:r>
    </w:p>
    <w:p>
      <w:pPr>
        <w:pStyle w:val="Heading1"/>
        <w:spacing w:after="200" w:before="400"/>
      </w:pPr>
      <w:r>
        <w:t xml:space="preserve">1. Synthèse exécutive</w:t>
      </w:r>
    </w:p>
    <w:p>
      <w:pPr>
        <w:spacing w:after="160"/>
        <w:jc w:val="left"/>
      </w:pPr>
      <w:r>
        <w:rPr>
          <w:b w:val="false"/>
          <w:bCs w:val="false"/>
          <w:i w:val="false"/>
          <w:iCs w:val="false"/>
        </w:rPr>
        <w:t xml:space="preserve">Le projet vise à créer un logiciel libre permettant de concevoir, publier, administrer et analyser des consultations, sondages, votes et scrutins. La particularité structurante du produit est de séparer la collecte des réponses, les méthodes de comptage, les statistiques et les modes de restitution.</w:t>
      </w:r>
    </w:p>
    <w:p>
      <w:pPr>
        <w:spacing w:after="160"/>
        <w:jc w:val="left"/>
      </w:pPr>
      <w:r>
        <w:rPr>
          <w:b w:val="false"/>
          <w:bCs w:val="false"/>
          <w:i w:val="false"/>
          <w:iCs w:val="false"/>
        </w:rPr>
        <w:t xml:space="preserve">Le logiciel est pensé comme une plateforme modulaire : les types de questions, méthodes de vote, règles de dépouillement, moteurs statistiques et visualisations doivent pouvoir être ajoutés, retirés, versionnés et personnalisés sans remettre en cause le noyau de l'application.</w:t>
      </w:r>
    </w:p>
    <w:p>
      <w:pPr>
        <w:spacing w:after="160"/>
        <w:jc w:val="left"/>
      </w:pPr>
      <w:r>
        <w:rPr>
          <w:b w:val="false"/>
          <w:bCs w:val="false"/>
          <w:i w:val="false"/>
          <w:iCs w:val="false"/>
        </w:rPr>
        <w:t xml:space="preserve">L'ambition dépasse le simple formulaire en ligne : le produit doit favoriser la compréhension des mécanismes démocratiques. Les résultats doivent pouvoir être expliqués, audités et présentés de manière accessible, y compris lorsque la méthode de vote est complexe. C'est cette ambition — l'éveil démocratique — qui justifie des fonctions habituellement absentes d'un outil de sondage : explication de méthode, transparence des règles, traçabilité du calcul.</w:t>
      </w:r>
    </w:p>
    <w:p>
      <w:pPr>
        <w:pStyle w:val="Heading2"/>
        <w:spacing w:after="150" w:before="300"/>
      </w:pPr>
      <w:r>
        <w:t xml:space="preserve">1.1 Principes directeurs</w:t>
      </w:r>
    </w:p>
    <w:p>
      <w:pPr>
        <w:pStyle w:val="ListParagraph"/>
        <w:numPr>
          <w:ilvl w:val="0"/>
          <w:numId w:val="1"/>
        </w:numPr>
        <w:spacing w:after="80"/>
      </w:pPr>
      <w:r>
        <w:t xml:space="preserve">Libre et réutilisable : licence libre et architecture permettant l'auto-hébergement.</w:t>
      </w:r>
    </w:p>
    <w:p>
      <w:pPr>
        <w:pStyle w:val="ListParagraph"/>
        <w:numPr>
          <w:ilvl w:val="0"/>
          <w:numId w:val="1"/>
        </w:numPr>
        <w:spacing w:after="80"/>
      </w:pPr>
      <w:r>
        <w:t xml:space="preserve">Souveraineté : installation sur serveur ou exécution locale, avec contrôle des données par l'organisation.</w:t>
      </w:r>
    </w:p>
    <w:p>
      <w:pPr>
        <w:pStyle w:val="ListParagraph"/>
        <w:numPr>
          <w:ilvl w:val="0"/>
          <w:numId w:val="1"/>
        </w:numPr>
        <w:spacing w:after="80"/>
      </w:pPr>
      <w:r>
        <w:t xml:space="preserve">Modularité : méthodes de vote et composants fonctionnels sous forme de modules versionnés.</w:t>
      </w:r>
    </w:p>
    <w:p>
      <w:pPr>
        <w:pStyle w:val="ListParagraph"/>
        <w:numPr>
          <w:ilvl w:val="0"/>
          <w:numId w:val="1"/>
        </w:numPr>
        <w:spacing w:after="80"/>
      </w:pPr>
      <w:r>
        <w:t xml:space="preserve">Transparence : rendre compréhensibles les règles, paramètres et calculs appliqués.</w:t>
      </w:r>
    </w:p>
    <w:p>
      <w:pPr>
        <w:pStyle w:val="ListParagraph"/>
        <w:numPr>
          <w:ilvl w:val="0"/>
          <w:numId w:val="1"/>
        </w:numPr>
        <w:spacing w:after="80"/>
      </w:pPr>
      <w:r>
        <w:t xml:space="preserve">Vérifiabilité : mécanismes d'audit et, pour les scrutins adaptés, vérification cryptographique.</w:t>
      </w:r>
    </w:p>
    <w:p>
      <w:pPr>
        <w:pStyle w:val="ListParagraph"/>
        <w:numPr>
          <w:ilvl w:val="0"/>
          <w:numId w:val="1"/>
        </w:numPr>
        <w:spacing w:after="80"/>
      </w:pPr>
      <w:r>
        <w:t xml:space="preserve">Accessibilité : une personne doit pouvoir participer sans formation préalable.</w:t>
      </w:r>
    </w:p>
    <w:p>
      <w:pPr>
        <w:pStyle w:val="ListParagraph"/>
        <w:numPr>
          <w:ilvl w:val="0"/>
          <w:numId w:val="1"/>
        </w:numPr>
        <w:spacing w:after="80"/>
      </w:pPr>
      <w:r>
        <w:t xml:space="preserve">Multilinguisme natif : langues et contenus traduits font partie du modèle de données, pas d'une couche ajoutée après coup.</w:t>
      </w:r>
    </w:p>
    <w:p>
      <w:pPr>
        <w:pStyle w:val="ListParagraph"/>
        <w:numPr>
          <w:ilvl w:val="0"/>
          <w:numId w:val="1"/>
        </w:numPr>
        <w:spacing w:after="80"/>
      </w:pPr>
      <w:r>
        <w:t xml:space="preserve">Performance : interface fluide, responsive, rapide, utilisable sur des réseaux modestes.</w:t>
      </w:r>
    </w:p>
    <w:p>
      <w:pPr>
        <w:pStyle w:val="ListParagraph"/>
        <w:numPr>
          <w:ilvl w:val="0"/>
          <w:numId w:val="1"/>
        </w:numPr>
        <w:spacing w:after="80"/>
      </w:pPr>
      <w:r>
        <w:t xml:space="preserve">Pédagogie démocratique : chaque résultat peut être accompagné d'une explication de la méthode utilisée, écrite pour un public non technique.</w:t>
      </w:r>
    </w:p>
    <w:p>
      <w:pPr>
        <w:pStyle w:val="Heading1"/>
        <w:spacing w:after="200" w:before="400"/>
      </w:pPr>
      <w:r>
        <w:t xml:space="preserve">2. Contexte et références de l'écosystème</w:t>
      </w:r>
    </w:p>
    <w:p>
      <w:pPr>
        <w:spacing w:after="160"/>
        <w:jc w:val="left"/>
      </w:pPr>
      <w:r>
        <w:rPr>
          <w:b w:val="false"/>
          <w:bCs w:val="false"/>
          <w:i w:val="false"/>
          <w:iCs w:val="false"/>
        </w:rPr>
        <w:t xml:space="preserve">L'étude préliminaire montre que le projet se situe à l'intersection de plusieurs familles d'outils : plateformes de participation citoyenne, logiciels de sondage, systèmes de vote vérifiable, bibliothèques de calcul électoral et grammaires de visualisation. Il ne faut pas chercher à reproduire un produit existant, mais à combiner leurs meilleures idées dans un modèle cohérent.</w:t>
      </w:r>
    </w:p>
    <w:p>
      <w:pPr>
        <w:pStyle w:val="Heading2"/>
        <w:spacing w:after="150" w:before="300"/>
      </w:pPr>
      <w:r>
        <w:t xml:space="preserve">2.1 Plateformes de participation et de sondage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AF1F8" w:val="clear"/>
            <w:tcMar>
              <w:top w:type="dxa" w:w="80"/>
              <w:left w:type="dxa" w:w="100"/>
              <w:bottom w:type="dxa" w:w="80"/>
              <w:right w:type="dxa" w:w="100"/>
            </w:tcMar>
          </w:tcPr>
          <w:p>
            <w:r>
              <w:rPr>
                <w:b/>
                <w:bCs/>
                <w:sz w:val="20"/>
                <w:szCs w:val="20"/>
              </w:rPr>
              <w:t xml:space="preserve">Référence</w:t>
            </w:r>
          </w:p>
        </w:tc>
        <w:tc>
          <w:tcPr>
            <w:tcW w:type="dxa" w:w="3400"/>
            <w:shd w:fill="EAF1F8" w:val="clear"/>
            <w:tcMar>
              <w:top w:type="dxa" w:w="80"/>
              <w:left w:type="dxa" w:w="100"/>
              <w:bottom w:type="dxa" w:w="80"/>
              <w:right w:type="dxa" w:w="100"/>
            </w:tcMar>
          </w:tcPr>
          <w:p>
            <w:r>
              <w:rPr>
                <w:b/>
                <w:bCs/>
                <w:sz w:val="20"/>
                <w:szCs w:val="20"/>
              </w:rPr>
              <w:t xml:space="preserve">Apport principal</w:t>
            </w:r>
          </w:p>
        </w:tc>
        <w:tc>
          <w:tcPr>
            <w:tcW w:type="dxa" w:w="3400"/>
            <w:shd w:fill="EAF1F8" w:val="clear"/>
            <w:tcMar>
              <w:top w:type="dxa" w:w="80"/>
              <w:left w:type="dxa" w:w="100"/>
              <w:bottom w:type="dxa" w:w="80"/>
              <w:right w:type="dxa" w:w="100"/>
            </w:tcMar>
          </w:tcPr>
          <w:p>
            <w:r>
              <w:rPr>
                <w:b/>
                <w:bCs/>
                <w:sz w:val="20"/>
                <w:szCs w:val="20"/>
              </w:rPr>
              <w:t xml:space="preserve">Enseignement pour le projet</w:t>
            </w:r>
          </w:p>
        </w:tc>
      </w:tr>
      <w:tr>
        <w:tc>
          <w:tcPr>
            <w:tcW w:type="dxa" w:w="2200"/>
            <w:tcMar>
              <w:top w:type="dxa" w:w="80"/>
              <w:left w:type="dxa" w:w="100"/>
              <w:bottom w:type="dxa" w:w="80"/>
              <w:right w:type="dxa" w:w="100"/>
            </w:tcMar>
          </w:tcPr>
          <w:p>
            <w:r>
              <w:rPr>
                <w:b w:val="false"/>
                <w:bCs w:val="false"/>
                <w:sz w:val="20"/>
                <w:szCs w:val="20"/>
              </w:rPr>
              <w:t xml:space="preserve">Decidim</w:t>
            </w:r>
          </w:p>
        </w:tc>
        <w:tc>
          <w:tcPr>
            <w:tcW w:type="dxa" w:w="3400"/>
            <w:tcMar>
              <w:top w:type="dxa" w:w="80"/>
              <w:left w:type="dxa" w:w="100"/>
              <w:bottom w:type="dxa" w:w="80"/>
              <w:right w:type="dxa" w:w="100"/>
            </w:tcMar>
          </w:tcPr>
          <w:p>
            <w:r>
              <w:rPr>
                <w:b w:val="false"/>
                <w:bCs w:val="false"/>
                <w:sz w:val="20"/>
                <w:szCs w:val="20"/>
              </w:rPr>
              <w:t xml:space="preserve">Démocratie participative : espaces, processus, phases, composants</w:t>
            </w:r>
          </w:p>
        </w:tc>
        <w:tc>
          <w:tcPr>
            <w:tcW w:type="dxa" w:w="3400"/>
            <w:tcMar>
              <w:top w:type="dxa" w:w="80"/>
              <w:left w:type="dxa" w:w="100"/>
              <w:bottom w:type="dxa" w:w="80"/>
              <w:right w:type="dxa" w:w="100"/>
            </w:tcMar>
          </w:tcPr>
          <w:p>
            <w:r>
              <w:rPr>
                <w:b w:val="false"/>
                <w:bCs w:val="false"/>
                <w:sz w:val="20"/>
                <w:szCs w:val="20"/>
              </w:rPr>
              <w:t xml:space="preserve">Modéliser une campagne comme un processus composé de phases et de composants réutilisables.</w:t>
            </w:r>
          </w:p>
        </w:tc>
      </w:tr>
      <w:tr>
        <w:tc>
          <w:tcPr>
            <w:tcW w:type="dxa" w:w="2200"/>
            <w:tcMar>
              <w:top w:type="dxa" w:w="80"/>
              <w:left w:type="dxa" w:w="100"/>
              <w:bottom w:type="dxa" w:w="80"/>
              <w:right w:type="dxa" w:w="100"/>
            </w:tcMar>
          </w:tcPr>
          <w:p>
            <w:r>
              <w:rPr>
                <w:b w:val="false"/>
                <w:bCs w:val="false"/>
                <w:sz w:val="20"/>
                <w:szCs w:val="20"/>
              </w:rPr>
              <w:t xml:space="preserve">CONSUL Democracy</w:t>
            </w:r>
          </w:p>
        </w:tc>
        <w:tc>
          <w:tcPr>
            <w:tcW w:type="dxa" w:w="3400"/>
            <w:tcMar>
              <w:top w:type="dxa" w:w="80"/>
              <w:left w:type="dxa" w:w="100"/>
              <w:bottom w:type="dxa" w:w="80"/>
              <w:right w:type="dxa" w:w="100"/>
            </w:tcMar>
          </w:tcPr>
          <w:p>
            <w:r>
              <w:rPr>
                <w:b w:val="false"/>
                <w:bCs w:val="false"/>
                <w:sz w:val="20"/>
                <w:szCs w:val="20"/>
              </w:rPr>
              <w:t xml:space="preserve">Participation citoyenne : propositions, débats, vote, budget participatif</w:t>
            </w:r>
          </w:p>
        </w:tc>
        <w:tc>
          <w:tcPr>
            <w:tcW w:type="dxa" w:w="3400"/>
            <w:tcMar>
              <w:top w:type="dxa" w:w="80"/>
              <w:left w:type="dxa" w:w="100"/>
              <w:bottom w:type="dxa" w:w="80"/>
              <w:right w:type="dxa" w:w="100"/>
            </w:tcMar>
          </w:tcPr>
          <w:p>
            <w:r>
              <w:rPr>
                <w:b w:val="false"/>
                <w:bCs w:val="false"/>
                <w:sz w:val="20"/>
                <w:szCs w:val="20"/>
              </w:rPr>
              <w:t xml:space="preserve">Prévoir plusieurs formes de participation au-delà du simple formulaire.</w:t>
            </w:r>
          </w:p>
        </w:tc>
      </w:tr>
      <w:tr>
        <w:tc>
          <w:tcPr>
            <w:tcW w:type="dxa" w:w="2200"/>
            <w:tcMar>
              <w:top w:type="dxa" w:w="80"/>
              <w:left w:type="dxa" w:w="100"/>
              <w:bottom w:type="dxa" w:w="80"/>
              <w:right w:type="dxa" w:w="100"/>
            </w:tcMar>
          </w:tcPr>
          <w:p>
            <w:r>
              <w:rPr>
                <w:b w:val="false"/>
                <w:bCs w:val="false"/>
                <w:sz w:val="20"/>
                <w:szCs w:val="20"/>
              </w:rPr>
              <w:t xml:space="preserve">LimeSurvey</w:t>
            </w:r>
          </w:p>
        </w:tc>
        <w:tc>
          <w:tcPr>
            <w:tcW w:type="dxa" w:w="3400"/>
            <w:tcMar>
              <w:top w:type="dxa" w:w="80"/>
              <w:left w:type="dxa" w:w="100"/>
              <w:bottom w:type="dxa" w:w="80"/>
              <w:right w:type="dxa" w:w="100"/>
            </w:tcMar>
          </w:tcPr>
          <w:p>
            <w:r>
              <w:rPr>
                <w:b w:val="false"/>
                <w:bCs w:val="false"/>
                <w:sz w:val="20"/>
                <w:szCs w:val="20"/>
              </w:rPr>
              <w:t xml:space="preserve">Création de sondages, grande variété de types de questions</w:t>
            </w:r>
          </w:p>
        </w:tc>
        <w:tc>
          <w:tcPr>
            <w:tcW w:type="dxa" w:w="3400"/>
            <w:tcMar>
              <w:top w:type="dxa" w:w="80"/>
              <w:left w:type="dxa" w:w="100"/>
              <w:bottom w:type="dxa" w:w="80"/>
              <w:right w:type="dxa" w:w="100"/>
            </w:tcMar>
          </w:tcPr>
          <w:p>
            <w:r>
              <w:rPr>
                <w:b w:val="false"/>
                <w:bCs w:val="false"/>
                <w:sz w:val="20"/>
                <w:szCs w:val="20"/>
              </w:rPr>
              <w:t xml:space="preserve">Bibliothèque de questions riche, logique conditionnelle, statistiques et export matures.</w:t>
            </w:r>
          </w:p>
        </w:tc>
      </w:tr>
    </w:tbl>
    <w:p>
      <w:pPr>
        <w:pStyle w:val="Heading2"/>
        <w:spacing w:after="150" w:before="300"/>
      </w:pPr>
      <w:r>
        <w:t xml:space="preserve">2.2 Vote vérifiable et calcul électoral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AF1F8" w:val="clear"/>
            <w:tcMar>
              <w:top w:type="dxa" w:w="80"/>
              <w:left w:type="dxa" w:w="100"/>
              <w:bottom w:type="dxa" w:w="80"/>
              <w:right w:type="dxa" w:w="100"/>
            </w:tcMar>
          </w:tcPr>
          <w:p>
            <w:r>
              <w:rPr>
                <w:b/>
                <w:bCs/>
                <w:sz w:val="20"/>
                <w:szCs w:val="20"/>
              </w:rPr>
              <w:t xml:space="preserve">Référence</w:t>
            </w:r>
          </w:p>
        </w:tc>
        <w:tc>
          <w:tcPr>
            <w:tcW w:type="dxa" w:w="3400"/>
            <w:shd w:fill="EAF1F8" w:val="clear"/>
            <w:tcMar>
              <w:top w:type="dxa" w:w="80"/>
              <w:left w:type="dxa" w:w="100"/>
              <w:bottom w:type="dxa" w:w="80"/>
              <w:right w:type="dxa" w:w="100"/>
            </w:tcMar>
          </w:tcPr>
          <w:p>
            <w:r>
              <w:rPr>
                <w:b/>
                <w:bCs/>
                <w:sz w:val="20"/>
                <w:szCs w:val="20"/>
              </w:rPr>
              <w:t xml:space="preserve">Apport principal</w:t>
            </w:r>
          </w:p>
        </w:tc>
        <w:tc>
          <w:tcPr>
            <w:tcW w:type="dxa" w:w="3400"/>
            <w:shd w:fill="EAF1F8" w:val="clear"/>
            <w:tcMar>
              <w:top w:type="dxa" w:w="80"/>
              <w:left w:type="dxa" w:w="100"/>
              <w:bottom w:type="dxa" w:w="80"/>
              <w:right w:type="dxa" w:w="100"/>
            </w:tcMar>
          </w:tcPr>
          <w:p>
            <w:r>
              <w:rPr>
                <w:b/>
                <w:bCs/>
                <w:sz w:val="20"/>
                <w:szCs w:val="20"/>
              </w:rPr>
              <w:t xml:space="preserve">Enseignement pour le projet</w:t>
            </w:r>
          </w:p>
        </w:tc>
      </w:tr>
      <w:tr>
        <w:tc>
          <w:tcPr>
            <w:tcW w:type="dxa" w:w="2200"/>
            <w:tcMar>
              <w:top w:type="dxa" w:w="80"/>
              <w:left w:type="dxa" w:w="100"/>
              <w:bottom w:type="dxa" w:w="80"/>
              <w:right w:type="dxa" w:w="100"/>
            </w:tcMar>
          </w:tcPr>
          <w:p>
            <w:r>
              <w:rPr>
                <w:b w:val="false"/>
                <w:bCs w:val="false"/>
                <w:sz w:val="20"/>
                <w:szCs w:val="20"/>
              </w:rPr>
              <w:t xml:space="preserve">Belenios</w:t>
            </w:r>
          </w:p>
        </w:tc>
        <w:tc>
          <w:tcPr>
            <w:tcW w:type="dxa" w:w="3400"/>
            <w:tcMar>
              <w:top w:type="dxa" w:w="80"/>
              <w:left w:type="dxa" w:w="100"/>
              <w:bottom w:type="dxa" w:w="80"/>
              <w:right w:type="dxa" w:w="100"/>
            </w:tcMar>
          </w:tcPr>
          <w:p>
            <w:r>
              <w:rPr>
                <w:b w:val="false"/>
                <w:bCs w:val="false"/>
                <w:sz w:val="20"/>
                <w:szCs w:val="20"/>
              </w:rPr>
              <w:t xml:space="preserve">Vote vérifiable et confidentialité (chiffrement homomorphe)</w:t>
            </w:r>
          </w:p>
        </w:tc>
        <w:tc>
          <w:tcPr>
            <w:tcW w:type="dxa" w:w="3400"/>
            <w:tcMar>
              <w:top w:type="dxa" w:w="80"/>
              <w:left w:type="dxa" w:w="100"/>
              <w:bottom w:type="dxa" w:w="80"/>
              <w:right w:type="dxa" w:w="100"/>
            </w:tcMar>
          </w:tcPr>
          <w:p>
            <w:r>
              <w:rPr>
                <w:b w:val="false"/>
                <w:bCs w:val="false"/>
                <w:sz w:val="20"/>
                <w:szCs w:val="20"/>
              </w:rPr>
              <w:t xml:space="preserve">Séparer administration, vote, secret et vérifiabilité comme des responsabilités distinctes.</w:t>
            </w:r>
          </w:p>
        </w:tc>
      </w:tr>
      <w:tr>
        <w:tc>
          <w:tcPr>
            <w:tcW w:type="dxa" w:w="2200"/>
            <w:tcMar>
              <w:top w:type="dxa" w:w="80"/>
              <w:left w:type="dxa" w:w="100"/>
              <w:bottom w:type="dxa" w:w="80"/>
              <w:right w:type="dxa" w:w="100"/>
            </w:tcMar>
          </w:tcPr>
          <w:p>
            <w:r>
              <w:rPr>
                <w:b w:val="false"/>
                <w:bCs w:val="false"/>
                <w:sz w:val="20"/>
                <w:szCs w:val="20"/>
              </w:rPr>
              <w:t xml:space="preserve">Helios Voting</w:t>
            </w:r>
          </w:p>
        </w:tc>
        <w:tc>
          <w:tcPr>
            <w:tcW w:type="dxa" w:w="3400"/>
            <w:tcMar>
              <w:top w:type="dxa" w:w="80"/>
              <w:left w:type="dxa" w:w="100"/>
              <w:bottom w:type="dxa" w:w="80"/>
              <w:right w:type="dxa" w:w="100"/>
            </w:tcMar>
          </w:tcPr>
          <w:p>
            <w:r>
              <w:rPr>
                <w:b w:val="false"/>
                <w:bCs w:val="false"/>
                <w:sz w:val="20"/>
                <w:szCs w:val="20"/>
              </w:rPr>
              <w:t xml:space="preserve">Vote électronique avec vérification du bulletin par le votant (bulletin tracking)</w:t>
            </w:r>
          </w:p>
        </w:tc>
        <w:tc>
          <w:tcPr>
            <w:tcW w:type="dxa" w:w="3400"/>
            <w:tcMar>
              <w:top w:type="dxa" w:w="80"/>
              <w:left w:type="dxa" w:w="100"/>
              <w:bottom w:type="dxa" w:w="80"/>
              <w:right w:type="dxa" w:w="100"/>
            </w:tcMar>
          </w:tcPr>
          <w:p>
            <w:r>
              <w:rPr>
                <w:b w:val="false"/>
                <w:bCs w:val="false"/>
                <w:sz w:val="20"/>
                <w:szCs w:val="20"/>
              </w:rPr>
              <w:t xml:space="preserve">Prévoir une couche de vérification optionnelle pour les scrutins sensibles.</w:t>
            </w:r>
          </w:p>
        </w:tc>
      </w:tr>
      <w:tr>
        <w:tc>
          <w:tcPr>
            <w:tcW w:type="dxa" w:w="2200"/>
            <w:tcMar>
              <w:top w:type="dxa" w:w="80"/>
              <w:left w:type="dxa" w:w="100"/>
              <w:bottom w:type="dxa" w:w="80"/>
              <w:right w:type="dxa" w:w="100"/>
            </w:tcMar>
          </w:tcPr>
          <w:p>
            <w:r>
              <w:rPr>
                <w:b w:val="false"/>
                <w:bCs w:val="false"/>
                <w:sz w:val="20"/>
                <w:szCs w:val="20"/>
              </w:rPr>
              <w:t xml:space="preserve">Agora Voting / nVotes</w:t>
            </w:r>
          </w:p>
        </w:tc>
        <w:tc>
          <w:tcPr>
            <w:tcW w:type="dxa" w:w="3400"/>
            <w:tcMar>
              <w:top w:type="dxa" w:w="80"/>
              <w:left w:type="dxa" w:w="100"/>
              <w:bottom w:type="dxa" w:w="80"/>
              <w:right w:type="dxa" w:w="100"/>
            </w:tcMar>
          </w:tcPr>
          <w:p>
            <w:r>
              <w:rPr>
                <w:b w:val="false"/>
                <w:bCs w:val="false"/>
                <w:sz w:val="20"/>
                <w:szCs w:val="20"/>
              </w:rPr>
              <w:t xml:space="preserve">Vote en ligne vérifiable utilisé en contexte politique réel (partis espagnols), mode hybride papier/en ligne</w:t>
            </w:r>
          </w:p>
        </w:tc>
        <w:tc>
          <w:tcPr>
            <w:tcW w:type="dxa" w:w="3400"/>
            <w:tcMar>
              <w:top w:type="dxa" w:w="80"/>
              <w:left w:type="dxa" w:w="100"/>
              <w:bottom w:type="dxa" w:w="80"/>
              <w:right w:type="dxa" w:w="100"/>
            </w:tcMar>
          </w:tcPr>
          <w:p>
            <w:r>
              <w:rPr>
                <w:b w:val="false"/>
                <w:bCs w:val="false"/>
                <w:sz w:val="20"/>
                <w:szCs w:val="20"/>
              </w:rPr>
              <w:t xml:space="preserve">Le mode hybride (papier + en ligne) est un cas d'usage réel à anticiper dans le modèle de données de participation.</w:t>
            </w:r>
          </w:p>
        </w:tc>
      </w:tr>
      <w:tr>
        <w:tc>
          <w:tcPr>
            <w:tcW w:type="dxa" w:w="2200"/>
            <w:tcMar>
              <w:top w:type="dxa" w:w="80"/>
              <w:left w:type="dxa" w:w="100"/>
              <w:bottom w:type="dxa" w:w="80"/>
              <w:right w:type="dxa" w:w="100"/>
            </w:tcMar>
          </w:tcPr>
          <w:p>
            <w:r>
              <w:rPr>
                <w:b w:val="false"/>
                <w:bCs w:val="false"/>
                <w:sz w:val="20"/>
                <w:szCs w:val="20"/>
              </w:rPr>
              <w:t xml:space="preserve">OpenSTV</w:t>
            </w:r>
          </w:p>
        </w:tc>
        <w:tc>
          <w:tcPr>
            <w:tcW w:type="dxa" w:w="3400"/>
            <w:tcMar>
              <w:top w:type="dxa" w:w="80"/>
              <w:left w:type="dxa" w:w="100"/>
              <w:bottom w:type="dxa" w:w="80"/>
              <w:right w:type="dxa" w:w="100"/>
            </w:tcMar>
          </w:tcPr>
          <w:p>
            <w:r>
              <w:rPr>
                <w:b w:val="false"/>
                <w:bCs w:val="false"/>
                <w:sz w:val="20"/>
                <w:szCs w:val="20"/>
              </w:rPr>
              <w:t xml:space="preserve">Implémentation de référence du vote unique transférable (STV), conforme aux usages gouvernementaux (Écosse, Cambridge MA)</w:t>
            </w:r>
          </w:p>
        </w:tc>
        <w:tc>
          <w:tcPr>
            <w:tcW w:type="dxa" w:w="3400"/>
            <w:tcMar>
              <w:top w:type="dxa" w:w="80"/>
              <w:left w:type="dxa" w:w="100"/>
              <w:bottom w:type="dxa" w:w="80"/>
              <w:right w:type="dxa" w:w="100"/>
            </w:tcMar>
          </w:tcPr>
          <w:p>
            <w:r>
              <w:rPr>
                <w:b w:val="false"/>
                <w:bCs w:val="false"/>
                <w:sz w:val="20"/>
                <w:szCs w:val="20"/>
              </w:rPr>
              <w:t xml:space="preserve">Les méthodes complexes (STV) doivent être validées contre des jeux de test issus d'élections réelles, pas seulement contre la théorie.</w:t>
            </w:r>
          </w:p>
        </w:tc>
      </w:tr>
      <w:tr>
        <w:tc>
          <w:tcPr>
            <w:tcW w:type="dxa" w:w="2200"/>
            <w:tcMar>
              <w:top w:type="dxa" w:w="80"/>
              <w:left w:type="dxa" w:w="100"/>
              <w:bottom w:type="dxa" w:w="80"/>
              <w:right w:type="dxa" w:w="100"/>
            </w:tcMar>
          </w:tcPr>
          <w:p>
            <w:r>
              <w:rPr>
                <w:b w:val="false"/>
                <w:bCs w:val="false"/>
                <w:sz w:val="20"/>
                <w:szCs w:val="20"/>
              </w:rPr>
              <w:t xml:space="preserve">Condorcet PHP (julien-boudry)</w:t>
            </w:r>
          </w:p>
        </w:tc>
        <w:tc>
          <w:tcPr>
            <w:tcW w:type="dxa" w:w="3400"/>
            <w:tcMar>
              <w:top w:type="dxa" w:w="80"/>
              <w:left w:type="dxa" w:w="100"/>
              <w:bottom w:type="dxa" w:w="80"/>
              <w:right w:type="dxa" w:w="100"/>
            </w:tcMar>
          </w:tcPr>
          <w:p>
            <w:r>
              <w:rPr>
                <w:b w:val="false"/>
                <w:bCs w:val="false"/>
                <w:sz w:val="20"/>
                <w:szCs w:val="20"/>
              </w:rPr>
              <w:t xml:space="preserve">Bibliothèque libre (MIT) implémentant plus de 20 méthodes : Condorcet, Schulze, Borda, Copeland, STV, jugement majoritaire, méthodes à plus fort quotient</w:t>
            </w:r>
          </w:p>
        </w:tc>
        <w:tc>
          <w:tcPr>
            <w:tcW w:type="dxa" w:w="3400"/>
            <w:tcMar>
              <w:top w:type="dxa" w:w="80"/>
              <w:left w:type="dxa" w:w="100"/>
              <w:bottom w:type="dxa" w:w="80"/>
              <w:right w:type="dxa" w:w="100"/>
            </w:tcMar>
          </w:tcPr>
          <w:p>
            <w:r>
              <w:rPr>
                <w:b w:val="false"/>
                <w:bCs w:val="false"/>
                <w:sz w:val="20"/>
                <w:szCs w:val="20"/>
              </w:rPr>
              <w:t xml:space="preserve">Base de comparaison précieuse pour spécifier et tester le module de calcul Rust : même jeu de bulletins, mêmes résultats attendus.</w:t>
            </w:r>
          </w:p>
        </w:tc>
      </w:tr>
    </w:tbl>
    <w:p>
      <w:pPr>
        <w:pStyle w:val="Heading2"/>
        <w:spacing w:after="150" w:before="300"/>
      </w:pPr>
      <w:r>
        <w:t xml:space="preserve">2.3 Visualisation et standards de données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AF1F8" w:val="clear"/>
            <w:tcMar>
              <w:top w:type="dxa" w:w="80"/>
              <w:left w:type="dxa" w:w="100"/>
              <w:bottom w:type="dxa" w:w="80"/>
              <w:right w:type="dxa" w:w="100"/>
            </w:tcMar>
          </w:tcPr>
          <w:p>
            <w:r>
              <w:rPr>
                <w:b/>
                <w:bCs/>
                <w:sz w:val="20"/>
                <w:szCs w:val="20"/>
              </w:rPr>
              <w:t xml:space="preserve">Référence</w:t>
            </w:r>
          </w:p>
        </w:tc>
        <w:tc>
          <w:tcPr>
            <w:tcW w:type="dxa" w:w="3400"/>
            <w:shd w:fill="EAF1F8" w:val="clear"/>
            <w:tcMar>
              <w:top w:type="dxa" w:w="80"/>
              <w:left w:type="dxa" w:w="100"/>
              <w:bottom w:type="dxa" w:w="80"/>
              <w:right w:type="dxa" w:w="100"/>
            </w:tcMar>
          </w:tcPr>
          <w:p>
            <w:r>
              <w:rPr>
                <w:b/>
                <w:bCs/>
                <w:sz w:val="20"/>
                <w:szCs w:val="20"/>
              </w:rPr>
              <w:t xml:space="preserve">Apport principal</w:t>
            </w:r>
          </w:p>
        </w:tc>
        <w:tc>
          <w:tcPr>
            <w:tcW w:type="dxa" w:w="3400"/>
            <w:shd w:fill="EAF1F8" w:val="clear"/>
            <w:tcMar>
              <w:top w:type="dxa" w:w="80"/>
              <w:left w:type="dxa" w:w="100"/>
              <w:bottom w:type="dxa" w:w="80"/>
              <w:right w:type="dxa" w:w="100"/>
            </w:tcMar>
          </w:tcPr>
          <w:p>
            <w:r>
              <w:rPr>
                <w:b/>
                <w:bCs/>
                <w:sz w:val="20"/>
                <w:szCs w:val="20"/>
              </w:rPr>
              <w:t xml:space="preserve">Enseignement pour le projet</w:t>
            </w:r>
          </w:p>
        </w:tc>
      </w:tr>
      <w:tr>
        <w:tc>
          <w:tcPr>
            <w:tcW w:type="dxa" w:w="2200"/>
            <w:tcMar>
              <w:top w:type="dxa" w:w="80"/>
              <w:left w:type="dxa" w:w="100"/>
              <w:bottom w:type="dxa" w:w="80"/>
              <w:right w:type="dxa" w:w="100"/>
            </w:tcMar>
          </w:tcPr>
          <w:p>
            <w:r>
              <w:rPr>
                <w:b w:val="false"/>
                <w:bCs w:val="false"/>
                <w:sz w:val="20"/>
                <w:szCs w:val="20"/>
              </w:rPr>
              <w:t xml:space="preserve">Vega-Lite</w:t>
            </w:r>
          </w:p>
        </w:tc>
        <w:tc>
          <w:tcPr>
            <w:tcW w:type="dxa" w:w="3400"/>
            <w:tcMar>
              <w:top w:type="dxa" w:w="80"/>
              <w:left w:type="dxa" w:w="100"/>
              <w:bottom w:type="dxa" w:w="80"/>
              <w:right w:type="dxa" w:w="100"/>
            </w:tcMar>
          </w:tcPr>
          <w:p>
            <w:r>
              <w:rPr>
                <w:b w:val="false"/>
                <w:bCs w:val="false"/>
                <w:sz w:val="20"/>
                <w:szCs w:val="20"/>
              </w:rPr>
              <w:t xml:space="preserve">Grammaire déclarative de visualisation interactive (spécification JSON)</w:t>
            </w:r>
          </w:p>
        </w:tc>
        <w:tc>
          <w:tcPr>
            <w:tcW w:type="dxa" w:w="3400"/>
            <w:tcMar>
              <w:top w:type="dxa" w:w="80"/>
              <w:left w:type="dxa" w:w="100"/>
              <w:bottom w:type="dxa" w:w="80"/>
              <w:right w:type="dxa" w:w="100"/>
            </w:tcMar>
          </w:tcPr>
          <w:p>
            <w:r>
              <w:rPr>
                <w:b w:val="false"/>
                <w:bCs w:val="false"/>
                <w:sz w:val="20"/>
                <w:szCs w:val="20"/>
              </w:rPr>
              <w:t xml:space="preserve">Décrire une visualisation comme une spécification indépendante des données ; bon candidat pour le format d'échange interne des visualisations.</w:t>
            </w:r>
          </w:p>
        </w:tc>
      </w:tr>
      <w:tr>
        <w:tc>
          <w:tcPr>
            <w:tcW w:type="dxa" w:w="2200"/>
            <w:tcMar>
              <w:top w:type="dxa" w:w="80"/>
              <w:left w:type="dxa" w:w="100"/>
              <w:bottom w:type="dxa" w:w="80"/>
              <w:right w:type="dxa" w:w="100"/>
            </w:tcMar>
          </w:tcPr>
          <w:p>
            <w:r>
              <w:rPr>
                <w:b w:val="false"/>
                <w:bCs w:val="false"/>
                <w:sz w:val="20"/>
                <w:szCs w:val="20"/>
              </w:rPr>
              <w:t xml:space="preserve">Observable Plot</w:t>
            </w:r>
          </w:p>
        </w:tc>
        <w:tc>
          <w:tcPr>
            <w:tcW w:type="dxa" w:w="3400"/>
            <w:tcMar>
              <w:top w:type="dxa" w:w="80"/>
              <w:left w:type="dxa" w:w="100"/>
              <w:bottom w:type="dxa" w:w="80"/>
              <w:right w:type="dxa" w:w="100"/>
            </w:tcMar>
          </w:tcPr>
          <w:p>
            <w:r>
              <w:rPr>
                <w:b w:val="false"/>
                <w:bCs w:val="false"/>
                <w:sz w:val="20"/>
                <w:szCs w:val="20"/>
              </w:rPr>
              <w:t xml:space="preserve">Bibliothèque JS libre pour l'analyse exploratoire, API concise orientée grammaire des graphiques</w:t>
            </w:r>
          </w:p>
        </w:tc>
        <w:tc>
          <w:tcPr>
            <w:tcW w:type="dxa" w:w="3400"/>
            <w:tcMar>
              <w:top w:type="dxa" w:w="80"/>
              <w:left w:type="dxa" w:w="100"/>
              <w:bottom w:type="dxa" w:w="80"/>
              <w:right w:type="dxa" w:w="100"/>
            </w:tcMar>
          </w:tcPr>
          <w:p>
            <w:r>
              <w:rPr>
                <w:b w:val="false"/>
                <w:bCs w:val="false"/>
                <w:sz w:val="20"/>
                <w:szCs w:val="20"/>
              </w:rPr>
              <w:t xml:space="preserve">Alternative légère à Vega-Lite pour des vues d'exploration rapide côté analyse (écran 12).</w:t>
            </w:r>
          </w:p>
        </w:tc>
      </w:tr>
      <w:tr>
        <w:tc>
          <w:tcPr>
            <w:tcW w:type="dxa" w:w="2200"/>
            <w:tcMar>
              <w:top w:type="dxa" w:w="80"/>
              <w:left w:type="dxa" w:w="100"/>
              <w:bottom w:type="dxa" w:w="80"/>
              <w:right w:type="dxa" w:w="100"/>
            </w:tcMar>
          </w:tcPr>
          <w:p>
            <w:r>
              <w:rPr>
                <w:b w:val="false"/>
                <w:bCs w:val="false"/>
                <w:sz w:val="20"/>
                <w:szCs w:val="20"/>
              </w:rPr>
              <w:t xml:space="preserve">Apache ECharts</w:t>
            </w:r>
          </w:p>
        </w:tc>
        <w:tc>
          <w:tcPr>
            <w:tcW w:type="dxa" w:w="3400"/>
            <w:tcMar>
              <w:top w:type="dxa" w:w="80"/>
              <w:left w:type="dxa" w:w="100"/>
              <w:bottom w:type="dxa" w:w="80"/>
              <w:right w:type="dxa" w:w="100"/>
            </w:tcMar>
          </w:tcPr>
          <w:p>
            <w:r>
              <w:rPr>
                <w:b w:val="false"/>
                <w:bCs w:val="false"/>
                <w:sz w:val="20"/>
                <w:szCs w:val="20"/>
              </w:rPr>
              <w:t xml:space="preserve">Bibliothèque de graphiques interactifs (licence Apache), très large catalogue de types, adaptée au temps réel</w:t>
            </w:r>
          </w:p>
        </w:tc>
        <w:tc>
          <w:tcPr>
            <w:tcW w:type="dxa" w:w="3400"/>
            <w:tcMar>
              <w:top w:type="dxa" w:w="80"/>
              <w:left w:type="dxa" w:w="100"/>
              <w:bottom w:type="dxa" w:w="80"/>
              <w:right w:type="dxa" w:w="100"/>
            </w:tcMar>
          </w:tcPr>
          <w:p>
            <w:r>
              <w:rPr>
                <w:b w:val="false"/>
                <w:bCs w:val="false"/>
                <w:sz w:val="20"/>
                <w:szCs w:val="20"/>
              </w:rPr>
              <w:t xml:space="preserve">Bon candidat pour les tableaux de bord temps réel (participation en direct, écran 11), en complément d'une couche déclarative.</w:t>
            </w:r>
          </w:p>
        </w:tc>
      </w:tr>
      <w:tr>
        <w:tc>
          <w:tcPr>
            <w:tcW w:type="dxa" w:w="2200"/>
            <w:tcMar>
              <w:top w:type="dxa" w:w="80"/>
              <w:left w:type="dxa" w:w="100"/>
              <w:bottom w:type="dxa" w:w="80"/>
              <w:right w:type="dxa" w:w="100"/>
            </w:tcMar>
          </w:tcPr>
          <w:p>
            <w:r>
              <w:rPr>
                <w:b w:val="false"/>
                <w:bCs w:val="false"/>
                <w:sz w:val="20"/>
                <w:szCs w:val="20"/>
              </w:rPr>
              <w:t xml:space="preserve">NIST Election Results Common Data Format</w:t>
            </w:r>
          </w:p>
        </w:tc>
        <w:tc>
          <w:tcPr>
            <w:tcW w:type="dxa" w:w="3400"/>
            <w:tcMar>
              <w:top w:type="dxa" w:w="80"/>
              <w:left w:type="dxa" w:w="100"/>
              <w:bottom w:type="dxa" w:w="80"/>
              <w:right w:type="dxa" w:w="100"/>
            </w:tcMar>
          </w:tcPr>
          <w:p>
            <w:r>
              <w:rPr>
                <w:b w:val="false"/>
                <w:bCs w:val="false"/>
                <w:sz w:val="20"/>
                <w:szCs w:val="20"/>
              </w:rPr>
              <w:t xml:space="preserve">Modèle commun de données électorales (pré-électoral et résultats), schémas UML/XML/JSON</w:t>
            </w:r>
          </w:p>
        </w:tc>
        <w:tc>
          <w:tcPr>
            <w:tcW w:type="dxa" w:w="3400"/>
            <w:tcMar>
              <w:top w:type="dxa" w:w="80"/>
              <w:left w:type="dxa" w:w="100"/>
              <w:bottom w:type="dxa" w:w="80"/>
              <w:right w:type="dxa" w:w="100"/>
            </w:tcMar>
          </w:tcPr>
          <w:p>
            <w:r>
              <w:rPr>
                <w:b w:val="false"/>
                <w:bCs w:val="false"/>
                <w:sz w:val="20"/>
                <w:szCs w:val="20"/>
              </w:rPr>
              <w:t xml:space="preserve">Référence pour concevoir un modèle de données exportable et interopérable, sans imposer un cadre pensé pour un autre contexte national.</w:t>
            </w:r>
          </w:p>
        </w:tc>
      </w:tr>
    </w:tbl>
    <w:p>
      <w:pPr>
        <w:spacing w:after="160"/>
        <w:jc w:val="left"/>
      </w:pPr>
      <w:r>
        <w:rPr>
          <w:b w:val="false"/>
          <w:bCs w:val="false"/>
          <w:i/>
          <w:iCs/>
        </w:rPr>
        <w:t xml:space="preserve">Ces références sont complémentaires : elles ne constituent pas une liste de dépendances obligatoires. Le projet doit conserver son identité propre et éviter de devenir un assemblage de fonctionnalités sans modèle cohérent. Le choix concret des bibliothèques (Vega-Lite, Observable Plot ou ECharts, voire les trois pour des usages différents) reste un arbitrage d'implémentation à trancher en phase 2.</w:t>
      </w:r>
    </w:p>
    <w:p>
      <w:pPr>
        <w:pStyle w:val="Heading1"/>
        <w:spacing w:after="200" w:before="400"/>
      </w:pPr>
      <w:r>
        <w:t xml:space="preserve">3. Vision produit</w:t>
      </w:r>
    </w:p>
    <w:p>
      <w:pPr>
        <w:spacing w:after="160"/>
        <w:jc w:val="left"/>
      </w:pPr>
      <w:r>
        <w:rPr>
          <w:b w:val="false"/>
          <w:bCs w:val="false"/>
          <w:i w:val="false"/>
          <w:iCs w:val="false"/>
        </w:rPr>
        <w:t xml:space="preserve">Proposition de vision : « permettre à toute organisation de créer et conduire des consultations et des votes compréhensibles, libres, vérifiables et souverains, et donner aux citoyens les moyens de comprendre comment une décision collective est calculée ».</w:t>
      </w:r>
    </w:p>
    <w:p>
      <w:pPr>
        <w:pStyle w:val="Heading2"/>
        <w:spacing w:after="150" w:before="300"/>
      </w:pPr>
      <w:r>
        <w:t xml:space="preserve">3.1 Positionnement</w:t>
      </w:r>
    </w:p>
    <w:p>
      <w:pPr>
        <w:spacing w:after="160"/>
        <w:jc w:val="left"/>
      </w:pPr>
      <w:r>
        <w:rPr>
          <w:b w:val="false"/>
          <w:bCs w:val="false"/>
          <w:i w:val="false"/>
          <w:iCs w:val="false"/>
        </w:rPr>
        <w:t xml:space="preserve">Le produit se positionne entre le logiciel de sondage, la plateforme de participation citoyenne et le moteur de scrutin. Le noyau ne doit pas imposer une seule philosophie électorale : il doit permettre de choisir et d'expliquer la méthode adaptée à chaque situation.</w:t>
      </w:r>
    </w:p>
    <w:p>
      <w:pPr>
        <w:pStyle w:val="Heading2"/>
        <w:spacing w:after="150" w:before="300"/>
      </w:pPr>
      <w:r>
        <w:t xml:space="preserve">3.2 Distinction des usages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EAF1F8" w:val="clear"/>
            <w:tcMar>
              <w:top w:type="dxa" w:w="80"/>
              <w:left w:type="dxa" w:w="100"/>
              <w:bottom w:type="dxa" w:w="80"/>
              <w:right w:type="dxa" w:w="100"/>
            </w:tcMar>
          </w:tcPr>
          <w:p>
            <w:r>
              <w:rPr>
                <w:b/>
                <w:bCs/>
                <w:sz w:val="20"/>
                <w:szCs w:val="20"/>
              </w:rPr>
              <w:t xml:space="preserve">Usage</w:t>
            </w:r>
          </w:p>
        </w:tc>
        <w:tc>
          <w:tcPr>
            <w:tcW w:type="dxa" w:w="3600"/>
            <w:shd w:fill="EAF1F8" w:val="clear"/>
            <w:tcMar>
              <w:top w:type="dxa" w:w="80"/>
              <w:left w:type="dxa" w:w="100"/>
              <w:bottom w:type="dxa" w:w="80"/>
              <w:right w:type="dxa" w:w="100"/>
            </w:tcMar>
          </w:tcPr>
          <w:p>
            <w:r>
              <w:rPr>
                <w:b/>
                <w:bCs/>
                <w:sz w:val="20"/>
                <w:szCs w:val="20"/>
              </w:rPr>
              <w:t xml:space="preserve">Finalité</w:t>
            </w:r>
          </w:p>
        </w:tc>
        <w:tc>
          <w:tcPr>
            <w:tcW w:type="dxa" w:w="3200"/>
            <w:shd w:fill="EAF1F8" w:val="clear"/>
            <w:tcMar>
              <w:top w:type="dxa" w:w="80"/>
              <w:left w:type="dxa" w:w="100"/>
              <w:bottom w:type="dxa" w:w="80"/>
              <w:right w:type="dxa" w:w="100"/>
            </w:tcMar>
          </w:tcPr>
          <w:p>
            <w:r>
              <w:rPr>
                <w:b/>
                <w:bCs/>
                <w:sz w:val="20"/>
                <w:szCs w:val="20"/>
              </w:rPr>
              <w:t xml:space="preserve">Exigence dominante</w:t>
            </w:r>
          </w:p>
        </w:tc>
      </w:tr>
      <w:tr>
        <w:tc>
          <w:tcPr>
            <w:tcW w:type="dxa" w:w="2200"/>
            <w:tcMar>
              <w:top w:type="dxa" w:w="80"/>
              <w:left w:type="dxa" w:w="100"/>
              <w:bottom w:type="dxa" w:w="80"/>
              <w:right w:type="dxa" w:w="100"/>
            </w:tcMar>
          </w:tcPr>
          <w:p>
            <w:r>
              <w:rPr>
                <w:b w:val="false"/>
                <w:bCs w:val="false"/>
                <w:sz w:val="20"/>
                <w:szCs w:val="20"/>
              </w:rPr>
              <w:t xml:space="preserve">Sondage</w:t>
            </w:r>
          </w:p>
        </w:tc>
        <w:tc>
          <w:tcPr>
            <w:tcW w:type="dxa" w:w="3600"/>
            <w:tcMar>
              <w:top w:type="dxa" w:w="80"/>
              <w:left w:type="dxa" w:w="100"/>
              <w:bottom w:type="dxa" w:w="80"/>
              <w:right w:type="dxa" w:w="100"/>
            </w:tcMar>
          </w:tcPr>
          <w:p>
            <w:r>
              <w:rPr>
                <w:b w:val="false"/>
                <w:bCs w:val="false"/>
                <w:sz w:val="20"/>
                <w:szCs w:val="20"/>
              </w:rPr>
              <w:t xml:space="preserve">Mesurer des opinions</w:t>
            </w:r>
          </w:p>
        </w:tc>
        <w:tc>
          <w:tcPr>
            <w:tcW w:type="dxa" w:w="3200"/>
            <w:tcMar>
              <w:top w:type="dxa" w:w="80"/>
              <w:left w:type="dxa" w:w="100"/>
              <w:bottom w:type="dxa" w:w="80"/>
              <w:right w:type="dxa" w:w="100"/>
            </w:tcMar>
          </w:tcPr>
          <w:p>
            <w:r>
              <w:rPr>
                <w:b w:val="false"/>
                <w:bCs w:val="false"/>
                <w:sz w:val="20"/>
                <w:szCs w:val="20"/>
              </w:rPr>
              <w:t xml:space="preserve">Richesse des questions et de l'analyse</w:t>
            </w:r>
          </w:p>
        </w:tc>
      </w:tr>
      <w:tr>
        <w:tc>
          <w:tcPr>
            <w:tcW w:type="dxa" w:w="2200"/>
            <w:tcMar>
              <w:top w:type="dxa" w:w="80"/>
              <w:left w:type="dxa" w:w="100"/>
              <w:bottom w:type="dxa" w:w="80"/>
              <w:right w:type="dxa" w:w="100"/>
            </w:tcMar>
          </w:tcPr>
          <w:p>
            <w:r>
              <w:rPr>
                <w:b w:val="false"/>
                <w:bCs w:val="false"/>
                <w:sz w:val="20"/>
                <w:szCs w:val="20"/>
              </w:rPr>
              <w:t xml:space="preserve">Consultation</w:t>
            </w:r>
          </w:p>
        </w:tc>
        <w:tc>
          <w:tcPr>
            <w:tcW w:type="dxa" w:w="3600"/>
            <w:tcMar>
              <w:top w:type="dxa" w:w="80"/>
              <w:left w:type="dxa" w:w="100"/>
              <w:bottom w:type="dxa" w:w="80"/>
              <w:right w:type="dxa" w:w="100"/>
            </w:tcMar>
          </w:tcPr>
          <w:p>
            <w:r>
              <w:rPr>
                <w:b w:val="false"/>
                <w:bCs w:val="false"/>
                <w:sz w:val="20"/>
                <w:szCs w:val="20"/>
              </w:rPr>
              <w:t xml:space="preserve">Recueillir et rendre visibles des avis</w:t>
            </w:r>
          </w:p>
        </w:tc>
        <w:tc>
          <w:tcPr>
            <w:tcW w:type="dxa" w:w="3200"/>
            <w:tcMar>
              <w:top w:type="dxa" w:w="80"/>
              <w:left w:type="dxa" w:w="100"/>
              <w:bottom w:type="dxa" w:w="80"/>
              <w:right w:type="dxa" w:w="100"/>
            </w:tcMar>
          </w:tcPr>
          <w:p>
            <w:r>
              <w:rPr>
                <w:b w:val="false"/>
                <w:bCs w:val="false"/>
                <w:sz w:val="20"/>
                <w:szCs w:val="20"/>
              </w:rPr>
              <w:t xml:space="preserve">Transparence et restitution</w:t>
            </w:r>
          </w:p>
        </w:tc>
      </w:tr>
      <w:tr>
        <w:tc>
          <w:tcPr>
            <w:tcW w:type="dxa" w:w="2200"/>
            <w:tcMar>
              <w:top w:type="dxa" w:w="80"/>
              <w:left w:type="dxa" w:w="100"/>
              <w:bottom w:type="dxa" w:w="80"/>
              <w:right w:type="dxa" w:w="100"/>
            </w:tcMar>
          </w:tcPr>
          <w:p>
            <w:r>
              <w:rPr>
                <w:b w:val="false"/>
                <w:bCs w:val="false"/>
                <w:sz w:val="20"/>
                <w:szCs w:val="20"/>
              </w:rPr>
              <w:t xml:space="preserve">Vote décisionnel</w:t>
            </w:r>
          </w:p>
        </w:tc>
        <w:tc>
          <w:tcPr>
            <w:tcW w:type="dxa" w:w="3600"/>
            <w:tcMar>
              <w:top w:type="dxa" w:w="80"/>
              <w:left w:type="dxa" w:w="100"/>
              <w:bottom w:type="dxa" w:w="80"/>
              <w:right w:type="dxa" w:w="100"/>
            </w:tcMar>
          </w:tcPr>
          <w:p>
            <w:r>
              <w:rPr>
                <w:b w:val="false"/>
                <w:bCs w:val="false"/>
                <w:sz w:val="20"/>
                <w:szCs w:val="20"/>
              </w:rPr>
              <w:t xml:space="preserve">Prendre une décision</w:t>
            </w:r>
          </w:p>
        </w:tc>
        <w:tc>
          <w:tcPr>
            <w:tcW w:type="dxa" w:w="3200"/>
            <w:tcMar>
              <w:top w:type="dxa" w:w="80"/>
              <w:left w:type="dxa" w:w="100"/>
              <w:bottom w:type="dxa" w:w="80"/>
              <w:right w:type="dxa" w:w="100"/>
            </w:tcMar>
          </w:tcPr>
          <w:p>
            <w:r>
              <w:rPr>
                <w:b w:val="false"/>
                <w:bCs w:val="false"/>
                <w:sz w:val="20"/>
                <w:szCs w:val="20"/>
              </w:rPr>
              <w:t xml:space="preserve">Règles, quorum, dépouillement</w:t>
            </w:r>
          </w:p>
        </w:tc>
      </w:tr>
      <w:tr>
        <w:tc>
          <w:tcPr>
            <w:tcW w:type="dxa" w:w="2200"/>
            <w:tcMar>
              <w:top w:type="dxa" w:w="80"/>
              <w:left w:type="dxa" w:w="100"/>
              <w:bottom w:type="dxa" w:w="80"/>
              <w:right w:type="dxa" w:w="100"/>
            </w:tcMar>
          </w:tcPr>
          <w:p>
            <w:r>
              <w:rPr>
                <w:b w:val="false"/>
                <w:bCs w:val="false"/>
                <w:sz w:val="20"/>
                <w:szCs w:val="20"/>
              </w:rPr>
              <w:t xml:space="preserve">Élection</w:t>
            </w:r>
          </w:p>
        </w:tc>
        <w:tc>
          <w:tcPr>
            <w:tcW w:type="dxa" w:w="3600"/>
            <w:tcMar>
              <w:top w:type="dxa" w:w="80"/>
              <w:left w:type="dxa" w:w="100"/>
              <w:bottom w:type="dxa" w:w="80"/>
              <w:right w:type="dxa" w:w="100"/>
            </w:tcMar>
          </w:tcPr>
          <w:p>
            <w:r>
              <w:rPr>
                <w:b w:val="false"/>
                <w:bCs w:val="false"/>
                <w:sz w:val="20"/>
                <w:szCs w:val="20"/>
              </w:rPr>
              <w:t xml:space="preserve">Choisir un ou plusieurs représentants</w:t>
            </w:r>
          </w:p>
        </w:tc>
        <w:tc>
          <w:tcPr>
            <w:tcW w:type="dxa" w:w="3200"/>
            <w:tcMar>
              <w:top w:type="dxa" w:w="80"/>
              <w:left w:type="dxa" w:w="100"/>
              <w:bottom w:type="dxa" w:w="80"/>
              <w:right w:type="dxa" w:w="100"/>
            </w:tcMar>
          </w:tcPr>
          <w:p>
            <w:r>
              <w:rPr>
                <w:b w:val="false"/>
                <w:bCs w:val="false"/>
                <w:sz w:val="20"/>
                <w:szCs w:val="20"/>
              </w:rPr>
              <w:t xml:space="preserve">Méthode électorale et vérifiabilité</w:t>
            </w:r>
          </w:p>
        </w:tc>
      </w:tr>
      <w:tr>
        <w:tc>
          <w:tcPr>
            <w:tcW w:type="dxa" w:w="2200"/>
            <w:tcMar>
              <w:top w:type="dxa" w:w="80"/>
              <w:left w:type="dxa" w:w="100"/>
              <w:bottom w:type="dxa" w:w="80"/>
              <w:right w:type="dxa" w:w="100"/>
            </w:tcMar>
          </w:tcPr>
          <w:p>
            <w:r>
              <w:rPr>
                <w:b w:val="false"/>
                <w:bCs w:val="false"/>
                <w:sz w:val="20"/>
                <w:szCs w:val="20"/>
              </w:rPr>
              <w:t xml:space="preserve">Délibération</w:t>
            </w:r>
          </w:p>
        </w:tc>
        <w:tc>
          <w:tcPr>
            <w:tcW w:type="dxa" w:w="3600"/>
            <w:tcMar>
              <w:top w:type="dxa" w:w="80"/>
              <w:left w:type="dxa" w:w="100"/>
              <w:bottom w:type="dxa" w:w="80"/>
              <w:right w:type="dxa" w:w="100"/>
            </w:tcMar>
          </w:tcPr>
          <w:p>
            <w:r>
              <w:rPr>
                <w:b w:val="false"/>
                <w:bCs w:val="false"/>
                <w:sz w:val="20"/>
                <w:szCs w:val="20"/>
              </w:rPr>
              <w:t xml:space="preserve">Construire une décision collective</w:t>
            </w:r>
          </w:p>
        </w:tc>
        <w:tc>
          <w:tcPr>
            <w:tcW w:type="dxa" w:w="3200"/>
            <w:tcMar>
              <w:top w:type="dxa" w:w="80"/>
              <w:left w:type="dxa" w:w="100"/>
              <w:bottom w:type="dxa" w:w="80"/>
              <w:right w:type="dxa" w:w="100"/>
            </w:tcMar>
          </w:tcPr>
          <w:p>
            <w:r>
              <w:rPr>
                <w:b w:val="false"/>
                <w:bCs w:val="false"/>
                <w:sz w:val="20"/>
                <w:szCs w:val="20"/>
              </w:rPr>
              <w:t xml:space="preserve">Processus multi-étapes</w:t>
            </w:r>
          </w:p>
        </w:tc>
      </w:tr>
    </w:tbl>
    <w:p>
      <w:pPr>
        <w:pStyle w:val="Heading1"/>
        <w:spacing w:after="200" w:before="400"/>
      </w:pPr>
      <w:r>
        <w:t xml:space="preserve">4. Architecture fonctionnelle</w:t>
      </w:r>
    </w:p>
    <w:p>
      <w:pPr>
        <w:spacing w:after="160"/>
        <w:jc w:val="left"/>
      </w:pPr>
      <w:r>
        <w:rPr>
          <w:b w:val="false"/>
          <w:bCs w:val="false"/>
          <w:i w:val="false"/>
          <w:iCs w:val="false"/>
        </w:rPr>
        <w:t xml:space="preserve">Le modèle cible est organisé en couches. La séparation ci-dessous est une exigence d'architecture, pas seulement une description : un changement de visualisation ne doit jamais modifier le résultat électoral ; un changement de méthode de vote doit produire un nouveau résultat recalculé à partir des mêmes données, lorsque cela est mathématiquement et juridiquement pertinent.</w:t>
      </w:r>
    </w:p>
    <w:p>
      <w:pPr>
        <w:shd w:fill="EAF1F8" w:val="clear"/>
        <w:spacing w:after="100" w:before="100"/>
      </w:pPr>
      <w:r>
        <w:rPr>
          <w:rFonts w:ascii="Consolas" w:cs="Consolas" w:eastAsia="Consolas" w:hAnsi="Consolas"/>
          <w:sz w:val="20"/>
          <w:szCs w:val="20"/>
        </w:rPr>
        <w:t xml:space="preserve">Organisation</w:t>
      </w:r>
    </w:p>
    <w:p>
      <w:pPr>
        <w:shd w:fill="EAF1F8" w:val="clear"/>
      </w:pPr>
      <w:r>
        <w:rPr>
          <w:rFonts w:ascii="Consolas" w:cs="Consolas" w:eastAsia="Consolas" w:hAnsi="Consolas"/>
          <w:sz w:val="20"/>
          <w:szCs w:val="20"/>
        </w:rPr>
        <w:t xml:space="preserve">├── Utilisateurs / rôles / profils</w:t>
      </w:r>
    </w:p>
    <w:p>
      <w:pPr>
        <w:shd w:fill="EAF1F8" w:val="clear"/>
      </w:pPr>
      <w:r>
        <w:rPr>
          <w:rFonts w:ascii="Consolas" w:cs="Consolas" w:eastAsia="Consolas" w:hAnsi="Consolas"/>
          <w:sz w:val="20"/>
          <w:szCs w:val="20"/>
        </w:rPr>
        <w:t xml:space="preserve">├── Campagnes</w:t>
      </w:r>
    </w:p>
    <w:p>
      <w:pPr>
        <w:shd w:fill="EAF1F8" w:val="clear"/>
      </w:pPr>
      <w:r>
        <w:rPr>
          <w:rFonts w:ascii="Consolas" w:cs="Consolas" w:eastAsia="Consolas" w:hAnsi="Consolas"/>
          <w:sz w:val="20"/>
          <w:szCs w:val="20"/>
        </w:rPr>
        <w:t xml:space="preserve">│    ├── Formulaire → Questions</w:t>
      </w:r>
    </w:p>
    <w:p>
      <w:pPr>
        <w:shd w:fill="EAF1F8" w:val="clear"/>
      </w:pPr>
      <w:r>
        <w:rPr>
          <w:rFonts w:ascii="Consolas" w:cs="Consolas" w:eastAsia="Consolas" w:hAnsi="Consolas"/>
          <w:sz w:val="20"/>
          <w:szCs w:val="20"/>
        </w:rPr>
        <w:t xml:space="preserve">│    ├── Scrutin → Méthode de vote → Règles</w:t>
      </w:r>
    </w:p>
    <w:p>
      <w:pPr>
        <w:shd w:fill="EAF1F8" w:val="clear"/>
      </w:pPr>
      <w:r>
        <w:rPr>
          <w:rFonts w:ascii="Consolas" w:cs="Consolas" w:eastAsia="Consolas" w:hAnsi="Consolas"/>
          <w:sz w:val="20"/>
          <w:szCs w:val="20"/>
        </w:rPr>
        <w:t xml:space="preserve">│    ├── Participants</w:t>
      </w:r>
    </w:p>
    <w:p>
      <w:pPr>
        <w:shd w:fill="EAF1F8" w:val="clear"/>
      </w:pPr>
      <w:r>
        <w:rPr>
          <w:rFonts w:ascii="Consolas" w:cs="Consolas" w:eastAsia="Consolas" w:hAnsi="Consolas"/>
          <w:sz w:val="20"/>
          <w:szCs w:val="20"/>
        </w:rPr>
        <w:t xml:space="preserve">│    ├── Résultats</w:t>
      </w:r>
    </w:p>
    <w:p>
      <w:pPr>
        <w:shd w:fill="EAF1F8" w:val="clear"/>
      </w:pPr>
      <w:r>
        <w:rPr>
          <w:rFonts w:ascii="Consolas" w:cs="Consolas" w:eastAsia="Consolas" w:hAnsi="Consolas"/>
          <w:sz w:val="20"/>
          <w:szCs w:val="20"/>
        </w:rPr>
        <w:t xml:space="preserve">│    └── Présentations</w:t>
      </w:r>
    </w:p>
    <w:p>
      <w:pPr>
        <w:shd w:fill="EAF1F8" w:val="clear"/>
      </w:pPr>
      <w:r>
        <w:rPr>
          <w:rFonts w:ascii="Consolas" w:cs="Consolas" w:eastAsia="Consolas" w:hAnsi="Consolas"/>
          <w:sz w:val="20"/>
          <w:szCs w:val="20"/>
        </w:rPr>
        <w:t xml:space="preserve">└── Modules (questions, méthodes, statistiques, visualisations, exports)</w:t>
      </w:r>
    </w:p>
    <w:p>
      <w:pPr>
        <w:spacing w:after="160"/>
        <w:jc w:val="left"/>
      </w:pPr>
      <w:r>
        <w:rPr>
          <w:b w:val="false"/>
          <w:bCs w:val="false"/>
          <w:i w:val="false"/>
          <w:iCs w:val="false"/>
        </w:rPr>
        <w:t xml:space="preserve"/>
      </w:r>
    </w:p>
    <w:p>
      <w:pPr>
        <w:spacing w:after="160"/>
        <w:jc w:val="left"/>
      </w:pPr>
      <w:r>
        <w:rPr>
          <w:b/>
          <w:bCs/>
          <w:i w:val="false"/>
          <w:iCs w:val="false"/>
        </w:rPr>
        <w:t xml:space="preserve">Chaîne de traitement : Question → Réponse → Données brutes → Comptage → Résultats → Statistiques → Visualisation → Publication.</w:t>
      </w:r>
    </w:p>
    <w:p>
      <w:pPr>
        <w:pStyle w:val="Heading1"/>
        <w:spacing w:after="200" w:before="400"/>
      </w:pPr>
      <w:r>
        <w:t xml:space="preserve">5. Modèle de données conceptuel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00"/>
      </w:tblGrid>
      <w:tr>
        <w:trPr>
          <w:tblHeader/>
        </w:trPr>
        <w:tc>
          <w:tcPr>
            <w:tcW w:type="dxa" w:w="2000"/>
            <w:shd w:fill="EAF1F8" w:val="clear"/>
            <w:tcMar>
              <w:top w:type="dxa" w:w="80"/>
              <w:left w:type="dxa" w:w="100"/>
              <w:bottom w:type="dxa" w:w="80"/>
              <w:right w:type="dxa" w:w="100"/>
            </w:tcMar>
          </w:tcPr>
          <w:p>
            <w:r>
              <w:rPr>
                <w:b/>
                <w:bCs/>
                <w:sz w:val="20"/>
                <w:szCs w:val="20"/>
              </w:rPr>
              <w:t xml:space="preserve">Entité</w:t>
            </w:r>
          </w:p>
        </w:tc>
        <w:tc>
          <w:tcPr>
            <w:tcW w:type="dxa" w:w="3300"/>
            <w:shd w:fill="EAF1F8" w:val="clear"/>
            <w:tcMar>
              <w:top w:type="dxa" w:w="80"/>
              <w:left w:type="dxa" w:w="100"/>
              <w:bottom w:type="dxa" w:w="80"/>
              <w:right w:type="dxa" w:w="100"/>
            </w:tcMar>
          </w:tcPr>
          <w:p>
            <w:r>
              <w:rPr>
                <w:b/>
                <w:bCs/>
                <w:sz w:val="20"/>
                <w:szCs w:val="20"/>
              </w:rPr>
              <w:t xml:space="preserve">Responsabilité</w:t>
            </w:r>
          </w:p>
        </w:tc>
        <w:tc>
          <w:tcPr>
            <w:tcW w:type="dxa" w:w="3700"/>
            <w:shd w:fill="EAF1F8" w:val="clear"/>
            <w:tcMar>
              <w:top w:type="dxa" w:w="80"/>
              <w:left w:type="dxa" w:w="100"/>
              <w:bottom w:type="dxa" w:w="80"/>
              <w:right w:type="dxa" w:w="100"/>
            </w:tcMar>
          </w:tcPr>
          <w:p>
            <w:r>
              <w:rPr>
                <w:b/>
                <w:bCs/>
                <w:sz w:val="20"/>
                <w:szCs w:val="20"/>
              </w:rPr>
              <w:t xml:space="preserve">Exemples de propriétés</w:t>
            </w:r>
          </w:p>
        </w:tc>
      </w:tr>
      <w:tr>
        <w:tc>
          <w:tcPr>
            <w:tcW w:type="dxa" w:w="2000"/>
            <w:tcMar>
              <w:top w:type="dxa" w:w="80"/>
              <w:left w:type="dxa" w:w="100"/>
              <w:bottom w:type="dxa" w:w="80"/>
              <w:right w:type="dxa" w:w="100"/>
            </w:tcMar>
          </w:tcPr>
          <w:p>
            <w:r>
              <w:rPr>
                <w:b w:val="false"/>
                <w:bCs w:val="false"/>
                <w:sz w:val="20"/>
                <w:szCs w:val="20"/>
              </w:rPr>
              <w:t xml:space="preserve">Organization</w:t>
            </w:r>
          </w:p>
        </w:tc>
        <w:tc>
          <w:tcPr>
            <w:tcW w:type="dxa" w:w="3300"/>
            <w:tcMar>
              <w:top w:type="dxa" w:w="80"/>
              <w:left w:type="dxa" w:w="100"/>
              <w:bottom w:type="dxa" w:w="80"/>
              <w:right w:type="dxa" w:w="100"/>
            </w:tcMar>
          </w:tcPr>
          <w:p>
            <w:r>
              <w:rPr>
                <w:b w:val="false"/>
                <w:bCs w:val="false"/>
                <w:sz w:val="20"/>
                <w:szCs w:val="20"/>
              </w:rPr>
              <w:t xml:space="preserve">Périmètre de gouvernance</w:t>
            </w:r>
          </w:p>
        </w:tc>
        <w:tc>
          <w:tcPr>
            <w:tcW w:type="dxa" w:w="3700"/>
            <w:tcMar>
              <w:top w:type="dxa" w:w="80"/>
              <w:left w:type="dxa" w:w="100"/>
              <w:bottom w:type="dxa" w:w="80"/>
              <w:right w:type="dxa" w:w="100"/>
            </w:tcMar>
          </w:tcPr>
          <w:p>
            <w:r>
              <w:rPr>
                <w:b w:val="false"/>
                <w:bCs w:val="false"/>
                <w:sz w:val="20"/>
                <w:szCs w:val="20"/>
              </w:rPr>
              <w:t xml:space="preserve">nom, domaine, paramètres, langues</w:t>
            </w:r>
          </w:p>
        </w:tc>
      </w:tr>
      <w:tr>
        <w:tc>
          <w:tcPr>
            <w:tcW w:type="dxa" w:w="2000"/>
            <w:tcMar>
              <w:top w:type="dxa" w:w="80"/>
              <w:left w:type="dxa" w:w="100"/>
              <w:bottom w:type="dxa" w:w="80"/>
              <w:right w:type="dxa" w:w="100"/>
            </w:tcMar>
          </w:tcPr>
          <w:p>
            <w:r>
              <w:rPr>
                <w:b w:val="false"/>
                <w:bCs w:val="false"/>
                <w:sz w:val="20"/>
                <w:szCs w:val="20"/>
              </w:rPr>
              <w:t xml:space="preserve">User / Profile</w:t>
            </w:r>
          </w:p>
        </w:tc>
        <w:tc>
          <w:tcPr>
            <w:tcW w:type="dxa" w:w="3300"/>
            <w:tcMar>
              <w:top w:type="dxa" w:w="80"/>
              <w:left w:type="dxa" w:w="100"/>
              <w:bottom w:type="dxa" w:w="80"/>
              <w:right w:type="dxa" w:w="100"/>
            </w:tcMar>
          </w:tcPr>
          <w:p>
            <w:r>
              <w:rPr>
                <w:b w:val="false"/>
                <w:bCs w:val="false"/>
                <w:sz w:val="20"/>
                <w:szCs w:val="20"/>
              </w:rPr>
              <w:t xml:space="preserve">Identité applicative et profil public/privé du participant</w:t>
            </w:r>
          </w:p>
        </w:tc>
        <w:tc>
          <w:tcPr>
            <w:tcW w:type="dxa" w:w="3700"/>
            <w:tcMar>
              <w:top w:type="dxa" w:w="80"/>
              <w:left w:type="dxa" w:w="100"/>
              <w:bottom w:type="dxa" w:w="80"/>
              <w:right w:type="dxa" w:w="100"/>
            </w:tcMar>
          </w:tcPr>
          <w:p>
            <w:r>
              <w:rPr>
                <w:b w:val="false"/>
                <w:bCs w:val="false"/>
                <w:sz w:val="20"/>
                <w:szCs w:val="20"/>
              </w:rPr>
              <w:t xml:space="preserve">identifiant, profil, rôles, préférences de langue, historique de participation</w:t>
            </w:r>
          </w:p>
        </w:tc>
      </w:tr>
      <w:tr>
        <w:tc>
          <w:tcPr>
            <w:tcW w:type="dxa" w:w="2000"/>
            <w:tcMar>
              <w:top w:type="dxa" w:w="80"/>
              <w:left w:type="dxa" w:w="100"/>
              <w:bottom w:type="dxa" w:w="80"/>
              <w:right w:type="dxa" w:w="100"/>
            </w:tcMar>
          </w:tcPr>
          <w:p>
            <w:r>
              <w:rPr>
                <w:b w:val="false"/>
                <w:bCs w:val="false"/>
                <w:sz w:val="20"/>
                <w:szCs w:val="20"/>
              </w:rPr>
              <w:t xml:space="preserve">Campaign</w:t>
            </w:r>
          </w:p>
        </w:tc>
        <w:tc>
          <w:tcPr>
            <w:tcW w:type="dxa" w:w="3300"/>
            <w:tcMar>
              <w:top w:type="dxa" w:w="80"/>
              <w:left w:type="dxa" w:w="100"/>
              <w:bottom w:type="dxa" w:w="80"/>
              <w:right w:type="dxa" w:w="100"/>
            </w:tcMar>
          </w:tcPr>
          <w:p>
            <w:r>
              <w:rPr>
                <w:b w:val="false"/>
                <w:bCs w:val="false"/>
                <w:sz w:val="20"/>
                <w:szCs w:val="20"/>
              </w:rPr>
              <w:t xml:space="preserve">Conteneur d'un processus</w:t>
            </w:r>
          </w:p>
        </w:tc>
        <w:tc>
          <w:tcPr>
            <w:tcW w:type="dxa" w:w="3700"/>
            <w:tcMar>
              <w:top w:type="dxa" w:w="80"/>
              <w:left w:type="dxa" w:w="100"/>
              <w:bottom w:type="dxa" w:w="80"/>
              <w:right w:type="dxa" w:w="100"/>
            </w:tcMar>
          </w:tcPr>
          <w:p>
            <w:r>
              <w:rPr>
                <w:b w:val="false"/>
                <w:bCs w:val="false"/>
                <w:sz w:val="20"/>
                <w:szCs w:val="20"/>
              </w:rPr>
              <w:t xml:space="preserve">titre, statut, dates, visibilité, phases</w:t>
            </w:r>
          </w:p>
        </w:tc>
      </w:tr>
      <w:tr>
        <w:tc>
          <w:tcPr>
            <w:tcW w:type="dxa" w:w="2000"/>
            <w:tcMar>
              <w:top w:type="dxa" w:w="80"/>
              <w:left w:type="dxa" w:w="100"/>
              <w:bottom w:type="dxa" w:w="80"/>
              <w:right w:type="dxa" w:w="100"/>
            </w:tcMar>
          </w:tcPr>
          <w:p>
            <w:r>
              <w:rPr>
                <w:b w:val="false"/>
                <w:bCs w:val="false"/>
                <w:sz w:val="20"/>
                <w:szCs w:val="20"/>
              </w:rPr>
              <w:t xml:space="preserve">Form</w:t>
            </w:r>
          </w:p>
        </w:tc>
        <w:tc>
          <w:tcPr>
            <w:tcW w:type="dxa" w:w="3300"/>
            <w:tcMar>
              <w:top w:type="dxa" w:w="80"/>
              <w:left w:type="dxa" w:w="100"/>
              <w:bottom w:type="dxa" w:w="80"/>
              <w:right w:type="dxa" w:w="100"/>
            </w:tcMar>
          </w:tcPr>
          <w:p>
            <w:r>
              <w:rPr>
                <w:b w:val="false"/>
                <w:bCs w:val="false"/>
                <w:sz w:val="20"/>
                <w:szCs w:val="20"/>
              </w:rPr>
              <w:t xml:space="preserve">Structure de collecte</w:t>
            </w:r>
          </w:p>
        </w:tc>
        <w:tc>
          <w:tcPr>
            <w:tcW w:type="dxa" w:w="3700"/>
            <w:tcMar>
              <w:top w:type="dxa" w:w="80"/>
              <w:left w:type="dxa" w:w="100"/>
              <w:bottom w:type="dxa" w:w="80"/>
              <w:right w:type="dxa" w:w="100"/>
            </w:tcMar>
          </w:tcPr>
          <w:p>
            <w:r>
              <w:rPr>
                <w:b w:val="false"/>
                <w:bCs w:val="false"/>
                <w:sz w:val="20"/>
                <w:szCs w:val="20"/>
              </w:rPr>
              <w:t xml:space="preserve">pages, sections, logique conditionnelle</w:t>
            </w:r>
          </w:p>
        </w:tc>
      </w:tr>
      <w:tr>
        <w:tc>
          <w:tcPr>
            <w:tcW w:type="dxa" w:w="2000"/>
            <w:tcMar>
              <w:top w:type="dxa" w:w="80"/>
              <w:left w:type="dxa" w:w="100"/>
              <w:bottom w:type="dxa" w:w="80"/>
              <w:right w:type="dxa" w:w="100"/>
            </w:tcMar>
          </w:tcPr>
          <w:p>
            <w:r>
              <w:rPr>
                <w:b w:val="false"/>
                <w:bCs w:val="false"/>
                <w:sz w:val="20"/>
                <w:szCs w:val="20"/>
              </w:rPr>
              <w:t xml:space="preserve">Question</w:t>
            </w:r>
          </w:p>
        </w:tc>
        <w:tc>
          <w:tcPr>
            <w:tcW w:type="dxa" w:w="3300"/>
            <w:tcMar>
              <w:top w:type="dxa" w:w="80"/>
              <w:left w:type="dxa" w:w="100"/>
              <w:bottom w:type="dxa" w:w="80"/>
              <w:right w:type="dxa" w:w="100"/>
            </w:tcMar>
          </w:tcPr>
          <w:p>
            <w:r>
              <w:rPr>
                <w:b w:val="false"/>
                <w:bCs w:val="false"/>
                <w:sz w:val="20"/>
                <w:szCs w:val="20"/>
              </w:rPr>
              <w:t xml:space="preserve">Unité de collecte</w:t>
            </w:r>
          </w:p>
        </w:tc>
        <w:tc>
          <w:tcPr>
            <w:tcW w:type="dxa" w:w="3700"/>
            <w:tcMar>
              <w:top w:type="dxa" w:w="80"/>
              <w:left w:type="dxa" w:w="100"/>
              <w:bottom w:type="dxa" w:w="80"/>
              <w:right w:type="dxa" w:w="100"/>
            </w:tcMar>
          </w:tcPr>
          <w:p>
            <w:r>
              <w:rPr>
                <w:b w:val="false"/>
                <w:bCs w:val="false"/>
                <w:sz w:val="20"/>
                <w:szCs w:val="20"/>
              </w:rPr>
              <w:t xml:space="preserve">type, texte, options, contraintes, traductions</w:t>
            </w:r>
          </w:p>
        </w:tc>
      </w:tr>
      <w:tr>
        <w:tc>
          <w:tcPr>
            <w:tcW w:type="dxa" w:w="2000"/>
            <w:tcMar>
              <w:top w:type="dxa" w:w="80"/>
              <w:left w:type="dxa" w:w="100"/>
              <w:bottom w:type="dxa" w:w="80"/>
              <w:right w:type="dxa" w:w="100"/>
            </w:tcMar>
          </w:tcPr>
          <w:p>
            <w:r>
              <w:rPr>
                <w:b w:val="false"/>
                <w:bCs w:val="false"/>
                <w:sz w:val="20"/>
                <w:szCs w:val="20"/>
              </w:rPr>
              <w:t xml:space="preserve">Ballot / Response</w:t>
            </w:r>
          </w:p>
        </w:tc>
        <w:tc>
          <w:tcPr>
            <w:tcW w:type="dxa" w:w="3300"/>
            <w:tcMar>
              <w:top w:type="dxa" w:w="80"/>
              <w:left w:type="dxa" w:w="100"/>
              <w:bottom w:type="dxa" w:w="80"/>
              <w:right w:type="dxa" w:w="100"/>
            </w:tcMar>
          </w:tcPr>
          <w:p>
            <w:r>
              <w:rPr>
                <w:b w:val="false"/>
                <w:bCs w:val="false"/>
                <w:sz w:val="20"/>
                <w:szCs w:val="20"/>
              </w:rPr>
              <w:t xml:space="preserve">Réponse ou bulletin</w:t>
            </w:r>
          </w:p>
        </w:tc>
        <w:tc>
          <w:tcPr>
            <w:tcW w:type="dxa" w:w="3700"/>
            <w:tcMar>
              <w:top w:type="dxa" w:w="80"/>
              <w:left w:type="dxa" w:w="100"/>
              <w:bottom w:type="dxa" w:w="80"/>
              <w:right w:type="dxa" w:w="100"/>
            </w:tcMar>
          </w:tcPr>
          <w:p>
            <w:r>
              <w:rPr>
                <w:b w:val="false"/>
                <w:bCs w:val="false"/>
                <w:sz w:val="20"/>
                <w:szCs w:val="20"/>
              </w:rPr>
              <w:t xml:space="preserve">données, état, horodatage, preuve selon mode</w:t>
            </w:r>
          </w:p>
        </w:tc>
      </w:tr>
      <w:tr>
        <w:tc>
          <w:tcPr>
            <w:tcW w:type="dxa" w:w="2000"/>
            <w:tcMar>
              <w:top w:type="dxa" w:w="80"/>
              <w:left w:type="dxa" w:w="100"/>
              <w:bottom w:type="dxa" w:w="80"/>
              <w:right w:type="dxa" w:w="100"/>
            </w:tcMar>
          </w:tcPr>
          <w:p>
            <w:r>
              <w:rPr>
                <w:b w:val="false"/>
                <w:bCs w:val="false"/>
                <w:sz w:val="20"/>
                <w:szCs w:val="20"/>
              </w:rPr>
              <w:t xml:space="preserve">VotingMethod</w:t>
            </w:r>
          </w:p>
        </w:tc>
        <w:tc>
          <w:tcPr>
            <w:tcW w:type="dxa" w:w="3300"/>
            <w:tcMar>
              <w:top w:type="dxa" w:w="80"/>
              <w:left w:type="dxa" w:w="100"/>
              <w:bottom w:type="dxa" w:w="80"/>
              <w:right w:type="dxa" w:w="100"/>
            </w:tcMar>
          </w:tcPr>
          <w:p>
            <w:r>
              <w:rPr>
                <w:b w:val="false"/>
                <w:bCs w:val="false"/>
                <w:sz w:val="20"/>
                <w:szCs w:val="20"/>
              </w:rPr>
              <w:t xml:space="preserve">Algorithme de traitement</w:t>
            </w:r>
          </w:p>
        </w:tc>
        <w:tc>
          <w:tcPr>
            <w:tcW w:type="dxa" w:w="3700"/>
            <w:tcMar>
              <w:top w:type="dxa" w:w="80"/>
              <w:left w:type="dxa" w:w="100"/>
              <w:bottom w:type="dxa" w:w="80"/>
              <w:right w:type="dxa" w:w="100"/>
            </w:tcMar>
          </w:tcPr>
          <w:p>
            <w:r>
              <w:rPr>
                <w:b w:val="false"/>
                <w:bCs w:val="false"/>
                <w:sz w:val="20"/>
                <w:szCs w:val="20"/>
              </w:rPr>
              <w:t xml:space="preserve">version, paramètres, entrées, sorties</w:t>
            </w:r>
          </w:p>
        </w:tc>
      </w:tr>
      <w:tr>
        <w:tc>
          <w:tcPr>
            <w:tcW w:type="dxa" w:w="2000"/>
            <w:tcMar>
              <w:top w:type="dxa" w:w="80"/>
              <w:left w:type="dxa" w:w="100"/>
              <w:bottom w:type="dxa" w:w="80"/>
              <w:right w:type="dxa" w:w="100"/>
            </w:tcMar>
          </w:tcPr>
          <w:p>
            <w:r>
              <w:rPr>
                <w:b w:val="false"/>
                <w:bCs w:val="false"/>
                <w:sz w:val="20"/>
                <w:szCs w:val="20"/>
              </w:rPr>
              <w:t xml:space="preserve">ResultSet</w:t>
            </w:r>
          </w:p>
        </w:tc>
        <w:tc>
          <w:tcPr>
            <w:tcW w:type="dxa" w:w="3300"/>
            <w:tcMar>
              <w:top w:type="dxa" w:w="80"/>
              <w:left w:type="dxa" w:w="100"/>
              <w:bottom w:type="dxa" w:w="80"/>
              <w:right w:type="dxa" w:w="100"/>
            </w:tcMar>
          </w:tcPr>
          <w:p>
            <w:r>
              <w:rPr>
                <w:b w:val="false"/>
                <w:bCs w:val="false"/>
                <w:sz w:val="20"/>
                <w:szCs w:val="20"/>
              </w:rPr>
              <w:t xml:space="preserve">Résultat calculé</w:t>
            </w:r>
          </w:p>
        </w:tc>
        <w:tc>
          <w:tcPr>
            <w:tcW w:type="dxa" w:w="3700"/>
            <w:tcMar>
              <w:top w:type="dxa" w:w="80"/>
              <w:left w:type="dxa" w:w="100"/>
              <w:bottom w:type="dxa" w:w="80"/>
              <w:right w:type="dxa" w:w="100"/>
            </w:tcMar>
          </w:tcPr>
          <w:p>
            <w:r>
              <w:rPr>
                <w:b w:val="false"/>
                <w:bCs w:val="false"/>
                <w:sz w:val="20"/>
                <w:szCs w:val="20"/>
              </w:rPr>
              <w:t xml:space="preserve">compteurs, proportions, gagnants, métadonnées, version de méthode</w:t>
            </w:r>
          </w:p>
        </w:tc>
      </w:tr>
      <w:tr>
        <w:tc>
          <w:tcPr>
            <w:tcW w:type="dxa" w:w="2000"/>
            <w:tcMar>
              <w:top w:type="dxa" w:w="80"/>
              <w:left w:type="dxa" w:w="100"/>
              <w:bottom w:type="dxa" w:w="80"/>
              <w:right w:type="dxa" w:w="100"/>
            </w:tcMar>
          </w:tcPr>
          <w:p>
            <w:r>
              <w:rPr>
                <w:b w:val="false"/>
                <w:bCs w:val="false"/>
                <w:sz w:val="20"/>
                <w:szCs w:val="20"/>
              </w:rPr>
              <w:t xml:space="preserve">Visualization</w:t>
            </w:r>
          </w:p>
        </w:tc>
        <w:tc>
          <w:tcPr>
            <w:tcW w:type="dxa" w:w="3300"/>
            <w:tcMar>
              <w:top w:type="dxa" w:w="80"/>
              <w:left w:type="dxa" w:w="100"/>
              <w:bottom w:type="dxa" w:w="80"/>
              <w:right w:type="dxa" w:w="100"/>
            </w:tcMar>
          </w:tcPr>
          <w:p>
            <w:r>
              <w:rPr>
                <w:b w:val="false"/>
                <w:bCs w:val="false"/>
                <w:sz w:val="20"/>
                <w:szCs w:val="20"/>
              </w:rPr>
              <w:t xml:space="preserve">Présentation</w:t>
            </w:r>
          </w:p>
        </w:tc>
        <w:tc>
          <w:tcPr>
            <w:tcW w:type="dxa" w:w="3700"/>
            <w:tcMar>
              <w:top w:type="dxa" w:w="80"/>
              <w:left w:type="dxa" w:w="100"/>
              <w:bottom w:type="dxa" w:w="80"/>
              <w:right w:type="dxa" w:w="100"/>
            </w:tcMar>
          </w:tcPr>
          <w:p>
            <w:r>
              <w:rPr>
                <w:b w:val="false"/>
                <w:bCs w:val="false"/>
                <w:sz w:val="20"/>
                <w:szCs w:val="20"/>
              </w:rPr>
              <w:t xml:space="preserve">type, configuration, filtres, jeu de résultats référencé</w:t>
            </w:r>
          </w:p>
        </w:tc>
      </w:tr>
      <w:tr>
        <w:tc>
          <w:tcPr>
            <w:tcW w:type="dxa" w:w="2000"/>
            <w:tcMar>
              <w:top w:type="dxa" w:w="80"/>
              <w:left w:type="dxa" w:w="100"/>
              <w:bottom w:type="dxa" w:w="80"/>
              <w:right w:type="dxa" w:w="100"/>
            </w:tcMar>
          </w:tcPr>
          <w:p>
            <w:r>
              <w:rPr>
                <w:b w:val="false"/>
                <w:bCs w:val="false"/>
                <w:sz w:val="20"/>
                <w:szCs w:val="20"/>
              </w:rPr>
              <w:t xml:space="preserve">Presentation / Report</w:t>
            </w:r>
          </w:p>
        </w:tc>
        <w:tc>
          <w:tcPr>
            <w:tcW w:type="dxa" w:w="3300"/>
            <w:tcMar>
              <w:top w:type="dxa" w:w="80"/>
              <w:left w:type="dxa" w:w="100"/>
              <w:bottom w:type="dxa" w:w="80"/>
              <w:right w:type="dxa" w:w="100"/>
            </w:tcMar>
          </w:tcPr>
          <w:p>
            <w:r>
              <w:rPr>
                <w:b w:val="false"/>
                <w:bCs w:val="false"/>
                <w:sz w:val="20"/>
                <w:szCs w:val="20"/>
              </w:rPr>
              <w:t xml:space="preserve">Restitution publique assemblée (page de résultats, export)</w:t>
            </w:r>
          </w:p>
        </w:tc>
        <w:tc>
          <w:tcPr>
            <w:tcW w:type="dxa" w:w="3700"/>
            <w:tcMar>
              <w:top w:type="dxa" w:w="80"/>
              <w:left w:type="dxa" w:w="100"/>
              <w:bottom w:type="dxa" w:w="80"/>
              <w:right w:type="dxa" w:w="100"/>
            </w:tcMar>
          </w:tcPr>
          <w:p>
            <w:r>
              <w:rPr>
                <w:b w:val="false"/>
                <w:bCs w:val="false"/>
                <w:sz w:val="20"/>
                <w:szCs w:val="20"/>
              </w:rPr>
              <w:t xml:space="preserve">mise en page, visualisations incluses, niveau de détail, langue</w:t>
            </w:r>
          </w:p>
        </w:tc>
      </w:tr>
      <w:tr>
        <w:tc>
          <w:tcPr>
            <w:tcW w:type="dxa" w:w="2000"/>
            <w:tcMar>
              <w:top w:type="dxa" w:w="80"/>
              <w:left w:type="dxa" w:w="100"/>
              <w:bottom w:type="dxa" w:w="80"/>
              <w:right w:type="dxa" w:w="100"/>
            </w:tcMar>
          </w:tcPr>
          <w:p>
            <w:r>
              <w:rPr>
                <w:b w:val="false"/>
                <w:bCs w:val="false"/>
                <w:sz w:val="20"/>
                <w:szCs w:val="20"/>
              </w:rPr>
              <w:t xml:space="preserve">AuditEvent</w:t>
            </w:r>
          </w:p>
        </w:tc>
        <w:tc>
          <w:tcPr>
            <w:tcW w:type="dxa" w:w="3300"/>
            <w:tcMar>
              <w:top w:type="dxa" w:w="80"/>
              <w:left w:type="dxa" w:w="100"/>
              <w:bottom w:type="dxa" w:w="80"/>
              <w:right w:type="dxa" w:w="100"/>
            </w:tcMar>
          </w:tcPr>
          <w:p>
            <w:r>
              <w:rPr>
                <w:b w:val="false"/>
                <w:bCs w:val="false"/>
                <w:sz w:val="20"/>
                <w:szCs w:val="20"/>
              </w:rPr>
              <w:t xml:space="preserve">Traçabilité</w:t>
            </w:r>
          </w:p>
        </w:tc>
        <w:tc>
          <w:tcPr>
            <w:tcW w:type="dxa" w:w="3700"/>
            <w:tcMar>
              <w:top w:type="dxa" w:w="80"/>
              <w:left w:type="dxa" w:w="100"/>
              <w:bottom w:type="dxa" w:w="80"/>
              <w:right w:type="dxa" w:w="100"/>
            </w:tcMar>
          </w:tcPr>
          <w:p>
            <w:r>
              <w:rPr>
                <w:b w:val="false"/>
                <w:bCs w:val="false"/>
                <w:sz w:val="20"/>
                <w:szCs w:val="20"/>
              </w:rPr>
              <w:t xml:space="preserve">acteur, action, date, contexte</w:t>
            </w:r>
          </w:p>
        </w:tc>
      </w:tr>
      <w:tr>
        <w:tc>
          <w:tcPr>
            <w:tcW w:type="dxa" w:w="2000"/>
            <w:tcMar>
              <w:top w:type="dxa" w:w="80"/>
              <w:left w:type="dxa" w:w="100"/>
              <w:bottom w:type="dxa" w:w="80"/>
              <w:right w:type="dxa" w:w="100"/>
            </w:tcMar>
          </w:tcPr>
          <w:p>
            <w:r>
              <w:rPr>
                <w:b w:val="false"/>
                <w:bCs w:val="false"/>
                <w:sz w:val="20"/>
                <w:szCs w:val="20"/>
              </w:rPr>
              <w:t xml:space="preserve">Module</w:t>
            </w:r>
          </w:p>
        </w:tc>
        <w:tc>
          <w:tcPr>
            <w:tcW w:type="dxa" w:w="3300"/>
            <w:tcMar>
              <w:top w:type="dxa" w:w="80"/>
              <w:left w:type="dxa" w:w="100"/>
              <w:bottom w:type="dxa" w:w="80"/>
              <w:right w:type="dxa" w:w="100"/>
            </w:tcMar>
          </w:tcPr>
          <w:p>
            <w:r>
              <w:rPr>
                <w:b w:val="false"/>
                <w:bCs w:val="false"/>
                <w:sz w:val="20"/>
                <w:szCs w:val="20"/>
              </w:rPr>
              <w:t xml:space="preserve">Extension installable</w:t>
            </w:r>
          </w:p>
        </w:tc>
        <w:tc>
          <w:tcPr>
            <w:tcW w:type="dxa" w:w="3700"/>
            <w:tcMar>
              <w:top w:type="dxa" w:w="80"/>
              <w:left w:type="dxa" w:w="100"/>
              <w:bottom w:type="dxa" w:w="80"/>
              <w:right w:type="dxa" w:w="100"/>
            </w:tcMar>
          </w:tcPr>
          <w:p>
            <w:r>
              <w:rPr>
                <w:b w:val="false"/>
                <w:bCs w:val="false"/>
                <w:sz w:val="20"/>
                <w:szCs w:val="20"/>
              </w:rPr>
              <w:t xml:space="preserve">id, version, compatibilité, licence, permissions déclarées</w:t>
            </w:r>
          </w:p>
        </w:tc>
      </w:tr>
    </w:tbl>
    <w:p>
      <w:pPr>
        <w:pStyle w:val="Heading2"/>
        <w:spacing w:after="150" w:before="300"/>
      </w:pPr>
      <w:r>
        <w:t xml:space="preserve">5.1 Règles de séparation des données</w:t>
      </w:r>
    </w:p>
    <w:p>
      <w:pPr>
        <w:pStyle w:val="ListParagraph"/>
        <w:numPr>
          <w:ilvl w:val="0"/>
          <w:numId w:val="1"/>
        </w:numPr>
        <w:spacing w:after="80"/>
      </w:pPr>
      <w:r>
        <w:t xml:space="preserve">Les réponses brutes doivent être distinguables des résultats calculés.</w:t>
      </w:r>
    </w:p>
    <w:p>
      <w:pPr>
        <w:pStyle w:val="ListParagraph"/>
        <w:numPr>
          <w:ilvl w:val="0"/>
          <w:numId w:val="1"/>
        </w:numPr>
        <w:spacing w:after="80"/>
      </w:pPr>
      <w:r>
        <w:t xml:space="preserve">Les paramètres du scrutin doivent être conservés avec une version immuable au moment de la clôture.</w:t>
      </w:r>
    </w:p>
    <w:p>
      <w:pPr>
        <w:pStyle w:val="ListParagraph"/>
        <w:numPr>
          <w:ilvl w:val="0"/>
          <w:numId w:val="1"/>
        </w:numPr>
        <w:spacing w:after="80"/>
      </w:pPr>
      <w:r>
        <w:t xml:space="preserve">Un résultat doit référencer la version exacte de la méthode de vote utilisée.</w:t>
      </w:r>
    </w:p>
    <w:p>
      <w:pPr>
        <w:pStyle w:val="ListParagraph"/>
        <w:numPr>
          <w:ilvl w:val="0"/>
          <w:numId w:val="1"/>
        </w:numPr>
        <w:spacing w:after="80"/>
      </w:pPr>
      <w:r>
        <w:t xml:space="preserve">Une visualisation doit référencer le jeu de résultats qu'elle présente, jamais les données brutes directement.</w:t>
      </w:r>
    </w:p>
    <w:p>
      <w:pPr>
        <w:pStyle w:val="ListParagraph"/>
        <w:numPr>
          <w:ilvl w:val="0"/>
          <w:numId w:val="1"/>
        </w:numPr>
        <w:spacing w:after="80"/>
      </w:pPr>
      <w:r>
        <w:t xml:space="preserve">Les exports doivent permettre de récupérer les données et leurs métadonnées sans dépendre de l'interface.</w:t>
      </w:r>
    </w:p>
    <w:p>
      <w:pPr>
        <w:pStyle w:val="Heading1"/>
        <w:spacing w:after="200" w:before="400"/>
      </w:pPr>
      <w:r>
        <w:t xml:space="preserve">6. Architecture des modules / plugins</w:t>
      </w:r>
    </w:p>
    <w:p>
      <w:pPr>
        <w:spacing w:after="160"/>
        <w:jc w:val="left"/>
      </w:pPr>
      <w:r>
        <w:rPr>
          <w:b w:val="false"/>
          <w:bCs w:val="false"/>
          <w:i w:val="false"/>
          <w:iCs w:val="false"/>
        </w:rPr>
        <w:t xml:space="preserve">Le système de modules est l'élément central du projet. Un module doit avoir un contrat explicite, une identité stable, une version et des compatibilités déclarées. Exemple de manifeste :</w:t>
      </w:r>
    </w:p>
    <w:p>
      <w:pPr>
        <w:shd w:fill="EAF1F8" w:val="clear"/>
      </w:pPr>
      <w:r>
        <w:rPr>
          <w:rFonts w:ascii="Consolas" w:cs="Consolas" w:eastAsia="Consolas" w:hAnsi="Consolas"/>
          <w:sz w:val="20"/>
          <w:szCs w:val="20"/>
        </w:rPr>
        <w:t xml:space="preserve">module:</w:t>
      </w:r>
    </w:p>
    <w:p>
      <w:pPr>
        <w:shd w:fill="EAF1F8" w:val="clear"/>
      </w:pPr>
      <w:r>
        <w:rPr>
          <w:rFonts w:ascii="Consolas" w:cs="Consolas" w:eastAsia="Consolas" w:hAnsi="Consolas"/>
          <w:sz w:val="20"/>
          <w:szCs w:val="20"/>
        </w:rPr>
        <w:t xml:space="preserve">  id: voting.majority</w:t>
      </w:r>
    </w:p>
    <w:p>
      <w:pPr>
        <w:shd w:fill="EAF1F8" w:val="clear"/>
      </w:pPr>
      <w:r>
        <w:rPr>
          <w:rFonts w:ascii="Consolas" w:cs="Consolas" w:eastAsia="Consolas" w:hAnsi="Consolas"/>
          <w:sz w:val="20"/>
          <w:szCs w:val="20"/>
        </w:rPr>
        <w:t xml:space="preserve">  version: 1.0</w:t>
      </w:r>
    </w:p>
    <w:p>
      <w:pPr>
        <w:shd w:fill="EAF1F8" w:val="clear"/>
      </w:pPr>
      <w:r>
        <w:rPr>
          <w:rFonts w:ascii="Consolas" w:cs="Consolas" w:eastAsia="Consolas" w:hAnsi="Consolas"/>
          <w:sz w:val="20"/>
          <w:szCs w:val="20"/>
        </w:rPr>
        <w:t xml:space="preserve">  inputs:</w:t>
      </w:r>
    </w:p>
    <w:p>
      <w:pPr>
        <w:shd w:fill="EAF1F8" w:val="clear"/>
      </w:pPr>
      <w:r>
        <w:rPr>
          <w:rFonts w:ascii="Consolas" w:cs="Consolas" w:eastAsia="Consolas" w:hAnsi="Consolas"/>
          <w:sz w:val="20"/>
          <w:szCs w:val="20"/>
        </w:rPr>
        <w:t xml:space="preserve">    - single_choice</w:t>
      </w:r>
    </w:p>
    <w:p>
      <w:pPr>
        <w:shd w:fill="EAF1F8" w:val="clear"/>
      </w:pPr>
      <w:r>
        <w:rPr>
          <w:rFonts w:ascii="Consolas" w:cs="Consolas" w:eastAsia="Consolas" w:hAnsi="Consolas"/>
          <w:sz w:val="20"/>
          <w:szCs w:val="20"/>
        </w:rPr>
        <w:t xml:space="preserve">  parameters:</w:t>
      </w:r>
    </w:p>
    <w:p>
      <w:pPr>
        <w:shd w:fill="EAF1F8" w:val="clear"/>
      </w:pPr>
      <w:r>
        <w:rPr>
          <w:rFonts w:ascii="Consolas" w:cs="Consolas" w:eastAsia="Consolas" w:hAnsi="Consolas"/>
          <w:sz w:val="20"/>
          <w:szCs w:val="20"/>
        </w:rPr>
        <w:t xml:space="preserve">    - quorum</w:t>
      </w:r>
    </w:p>
    <w:p>
      <w:pPr>
        <w:shd w:fill="EAF1F8" w:val="clear"/>
      </w:pPr>
      <w:r>
        <w:rPr>
          <w:rFonts w:ascii="Consolas" w:cs="Consolas" w:eastAsia="Consolas" w:hAnsi="Consolas"/>
          <w:sz w:val="20"/>
          <w:szCs w:val="20"/>
        </w:rPr>
        <w:t xml:space="preserve">    - abstention_policy</w:t>
      </w:r>
    </w:p>
    <w:p>
      <w:pPr>
        <w:shd w:fill="EAF1F8" w:val="clear"/>
      </w:pPr>
      <w:r>
        <w:rPr>
          <w:rFonts w:ascii="Consolas" w:cs="Consolas" w:eastAsia="Consolas" w:hAnsi="Consolas"/>
          <w:sz w:val="20"/>
          <w:szCs w:val="20"/>
        </w:rPr>
        <w:t xml:space="preserve">  outputs:</w:t>
      </w:r>
    </w:p>
    <w:p>
      <w:pPr>
        <w:shd w:fill="EAF1F8" w:val="clear"/>
      </w:pPr>
      <w:r>
        <w:rPr>
          <w:rFonts w:ascii="Consolas" w:cs="Consolas" w:eastAsia="Consolas" w:hAnsi="Consolas"/>
          <w:sz w:val="20"/>
          <w:szCs w:val="20"/>
        </w:rPr>
        <w:t xml:space="preserve">    - winner</w:t>
      </w:r>
    </w:p>
    <w:p>
      <w:pPr>
        <w:shd w:fill="EAF1F8" w:val="clear"/>
      </w:pPr>
      <w:r>
        <w:rPr>
          <w:rFonts w:ascii="Consolas" w:cs="Consolas" w:eastAsia="Consolas" w:hAnsi="Consolas"/>
          <w:sz w:val="20"/>
          <w:szCs w:val="20"/>
        </w:rPr>
        <w:t xml:space="preserve">    - percentages</w:t>
      </w:r>
    </w:p>
    <w:p>
      <w:pPr>
        <w:shd w:fill="EAF1F8" w:val="clear"/>
      </w:pPr>
      <w:r>
        <w:rPr>
          <w:rFonts w:ascii="Consolas" w:cs="Consolas" w:eastAsia="Consolas" w:hAnsi="Consolas"/>
          <w:sz w:val="20"/>
          <w:szCs w:val="20"/>
        </w:rPr>
        <w:t xml:space="preserve">    - participation</w:t>
      </w:r>
    </w:p>
    <w:p>
      <w:pPr>
        <w:shd w:fill="EAF1F8" w:val="clear"/>
      </w:pPr>
      <w:r>
        <w:rPr>
          <w:rFonts w:ascii="Consolas" w:cs="Consolas" w:eastAsia="Consolas" w:hAnsi="Consolas"/>
          <w:sz w:val="20"/>
          <w:szCs w:val="20"/>
        </w:rPr>
        <w:t xml:space="preserve">  compatible_visualizations:</w:t>
      </w:r>
    </w:p>
    <w:p>
      <w:pPr>
        <w:shd w:fill="EAF1F8" w:val="clear"/>
      </w:pPr>
      <w:r>
        <w:rPr>
          <w:rFonts w:ascii="Consolas" w:cs="Consolas" w:eastAsia="Consolas" w:hAnsi="Consolas"/>
          <w:sz w:val="20"/>
          <w:szCs w:val="20"/>
        </w:rPr>
        <w:t xml:space="preserve">    - bar</w:t>
      </w:r>
    </w:p>
    <w:p>
      <w:pPr>
        <w:shd w:fill="EAF1F8" w:val="clear"/>
      </w:pPr>
      <w:r>
        <w:rPr>
          <w:rFonts w:ascii="Consolas" w:cs="Consolas" w:eastAsia="Consolas" w:hAnsi="Consolas"/>
          <w:sz w:val="20"/>
          <w:szCs w:val="20"/>
        </w:rPr>
        <w:t xml:space="preserve">    - donut</w:t>
      </w:r>
    </w:p>
    <w:p>
      <w:pPr>
        <w:shd w:fill="EAF1F8" w:val="clear"/>
      </w:pPr>
      <w:r>
        <w:rPr>
          <w:rFonts w:ascii="Consolas" w:cs="Consolas" w:eastAsia="Consolas" w:hAnsi="Consolas"/>
          <w:sz w:val="20"/>
          <w:szCs w:val="20"/>
        </w:rPr>
        <w:t xml:space="preserve">    - table</w:t>
      </w:r>
    </w:p>
    <w:p>
      <w:pPr>
        <w:spacing w:after="160"/>
        <w:jc w:val="left"/>
      </w:pPr>
      <w:r>
        <w:rPr>
          <w:b w:val="false"/>
          <w:bCs w:val="false"/>
          <w:i w:val="false"/>
          <w:iCs w:val="false"/>
        </w:rPr>
        <w:t xml:space="preserve"/>
      </w:r>
    </w:p>
    <w:p>
      <w:pPr>
        <w:pStyle w:val="Heading2"/>
        <w:spacing w:after="150" w:before="300"/>
      </w:pPr>
      <w:r>
        <w:t xml:space="preserve">6.1 Stratégie de chargement pour un noyau Rust</w:t>
      </w:r>
    </w:p>
    <w:p>
      <w:pPr>
        <w:spacing w:after="160"/>
        <w:jc w:val="left"/>
      </w:pPr>
      <w:r>
        <w:rPr>
          <w:b w:val="false"/>
          <w:bCs w:val="false"/>
          <w:i w:val="false"/>
          <w:iCs w:val="false"/>
        </w:rPr>
        <w:t xml:space="preserve">Rust ne permet pas nativement le chargement dynamique de code aussi simplement qu'un langage interprété. Deux approches, non exclusives, sont à évaluer :</w:t>
      </w:r>
    </w:p>
    <w:p>
      <w:pPr>
        <w:pStyle w:val="ListParagraph"/>
        <w:numPr>
          <w:ilvl w:val="0"/>
          <w:numId w:val="1"/>
        </w:numPr>
        <w:spacing w:after="80"/>
      </w:pPr>
      <w:r>
        <w:t xml:space="preserve">Modules natifs (trait-based) : les modules du catalogue officiel (méthodes de vote standards, visualisations de base) sont compilés dans le noyau via un trait Rust commun (ex. VotingMethod, VisualizationAdapter). Rapide, sûr, mais nécessite une recompilation pour ajouter un module — adapté au catalogue « de confiance ».</w:t>
      </w:r>
    </w:p>
    <w:p>
      <w:pPr>
        <w:pStyle w:val="ListParagraph"/>
        <w:numPr>
          <w:ilvl w:val="0"/>
          <w:numId w:val="1"/>
        </w:numPr>
        <w:spacing w:after="80"/>
      </w:pPr>
      <w:r>
        <w:t xml:space="preserve">Modules WASM (WebAssembly) : les modules communautaires ou tiers sont chargés en sandbox WASM (via wasmtime ou wasmer), avec un contrat d'interface stable (WIT/Component Model). Permet l'ajout/retrait à chaud sans recompiler le noyau, avec un isolement fort — adapté à l'écosystème de contribution (phase 5).</w:t>
      </w:r>
    </w:p>
    <w:p>
      <w:pPr>
        <w:pStyle w:val="ListParagraph"/>
        <w:numPr>
          <w:ilvl w:val="0"/>
          <w:numId w:val="1"/>
        </w:numPr>
        <w:spacing w:after="80"/>
      </w:pPr>
      <w:r>
        <w:t xml:space="preserve">Dans les deux cas, le contrat de module (entrées, sorties, paramètres, permissions) doit être identique, pour que l'interface d'administration ne distingue pas les deux origines techniques.</w:t>
      </w:r>
    </w:p>
    <w:p>
      <w:pPr>
        <w:pStyle w:val="Heading2"/>
        <w:spacing w:after="150" w:before="300"/>
      </w:pPr>
      <w:r>
        <w:t xml:space="preserve">6.2 Familles de modules envisagées</w:t>
      </w:r>
    </w:p>
    <w:p>
      <w:pPr>
        <w:pStyle w:val="ListParagraph"/>
        <w:numPr>
          <w:ilvl w:val="0"/>
          <w:numId w:val="1"/>
        </w:numPr>
        <w:spacing w:after="80"/>
      </w:pPr>
      <w:r>
        <w:t xml:space="preserve">Questions : choix unique, choix multiples, texte, nombre, échelle, matrice, classement, date, etc.</w:t>
      </w:r>
    </w:p>
    <w:p>
      <w:pPr>
        <w:pStyle w:val="ListParagraph"/>
        <w:numPr>
          <w:ilvl w:val="0"/>
          <w:numId w:val="1"/>
        </w:numPr>
        <w:spacing w:after="80"/>
      </w:pPr>
      <w:r>
        <w:t xml:space="preserve">Méthodes de vote : majorité simple, majorité absolue, approbation, score, classement, Condorcet (et variantes Schulze, Copeland, Ranked Pairs), STV, jugement majoritaire, pondération.</w:t>
      </w:r>
    </w:p>
    <w:p>
      <w:pPr>
        <w:pStyle w:val="ListParagraph"/>
        <w:numPr>
          <w:ilvl w:val="0"/>
          <w:numId w:val="1"/>
        </w:numPr>
        <w:spacing w:after="80"/>
      </w:pPr>
      <w:r>
        <w:t xml:space="preserve">Règles : quorum, seuil, abstention, vote blanc, vote nul, nombre de choix, gestion des égalités.</w:t>
      </w:r>
    </w:p>
    <w:p>
      <w:pPr>
        <w:pStyle w:val="ListParagraph"/>
        <w:numPr>
          <w:ilvl w:val="0"/>
          <w:numId w:val="1"/>
        </w:numPr>
        <w:spacing w:after="80"/>
      </w:pPr>
      <w:r>
        <w:t xml:space="preserve">Statistiques : comptage, fréquence, pourcentage, moyenne, médiane, quartiles, variance, écart-type, croisements.</w:t>
      </w:r>
    </w:p>
    <w:p>
      <w:pPr>
        <w:pStyle w:val="ListParagraph"/>
        <w:numPr>
          <w:ilvl w:val="0"/>
          <w:numId w:val="1"/>
        </w:numPr>
        <w:spacing w:after="80"/>
      </w:pPr>
      <w:r>
        <w:t xml:space="preserve">Visualisations : barres, secteurs, donut, histogramme, ligne, classement, heatmap, tableau, jauge.</w:t>
      </w:r>
    </w:p>
    <w:p>
      <w:pPr>
        <w:pStyle w:val="ListParagraph"/>
        <w:numPr>
          <w:ilvl w:val="0"/>
          <w:numId w:val="1"/>
        </w:numPr>
        <w:spacing w:after="80"/>
      </w:pPr>
      <w:r>
        <w:t xml:space="preserve">Exports : CSV, JSON, éventuellement XML/standards électoraux (NIST CDF, EML).</w:t>
      </w:r>
    </w:p>
    <w:p>
      <w:pPr>
        <w:pStyle w:val="Heading1"/>
        <w:spacing w:after="200" w:before="400"/>
      </w:pPr>
      <w:r>
        <w:t xml:space="preserve">7. Méthodes de vote et règles</w:t>
      </w:r>
    </w:p>
    <w:p>
      <w:pPr>
        <w:spacing w:after="160"/>
        <w:jc w:val="left"/>
      </w:pPr>
      <w:r>
        <w:rPr>
          <w:b w:val="false"/>
          <w:bCs w:val="false"/>
          <w:i w:val="false"/>
          <w:iCs w:val="false"/>
        </w:rPr>
        <w:t xml:space="preserve">Le produit doit distinguer la méthode de sélection du bulletin, la règle de dépouillement et les règles de validité. Par exemple, « choix unique » décrit la saisie ; « majorité simple » décrit une méthode de décision ; « quorum 50 % » décrit une condition supplémentaire.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EAF1F8" w:val="clear"/>
            <w:tcMar>
              <w:top w:type="dxa" w:w="80"/>
              <w:left w:type="dxa" w:w="100"/>
              <w:bottom w:type="dxa" w:w="80"/>
              <w:right w:type="dxa" w:w="100"/>
            </w:tcMar>
          </w:tcPr>
          <w:p>
            <w:r>
              <w:rPr>
                <w:b/>
                <w:bCs/>
                <w:sz w:val="20"/>
                <w:szCs w:val="20"/>
              </w:rPr>
              <w:t xml:space="preserve">Couche</w:t>
            </w:r>
          </w:p>
        </w:tc>
        <w:tc>
          <w:tcPr>
            <w:tcW w:type="dxa" w:w="3200"/>
            <w:shd w:fill="EAF1F8" w:val="clear"/>
            <w:tcMar>
              <w:top w:type="dxa" w:w="80"/>
              <w:left w:type="dxa" w:w="100"/>
              <w:bottom w:type="dxa" w:w="80"/>
              <w:right w:type="dxa" w:w="100"/>
            </w:tcMar>
          </w:tcPr>
          <w:p>
            <w:r>
              <w:rPr>
                <w:b/>
                <w:bCs/>
                <w:sz w:val="20"/>
                <w:szCs w:val="20"/>
              </w:rPr>
              <w:t xml:space="preserve">Exemple</w:t>
            </w:r>
          </w:p>
        </w:tc>
        <w:tc>
          <w:tcPr>
            <w:tcW w:type="dxa" w:w="3600"/>
            <w:shd w:fill="EAF1F8" w:val="clear"/>
            <w:tcMar>
              <w:top w:type="dxa" w:w="80"/>
              <w:left w:type="dxa" w:w="100"/>
              <w:bottom w:type="dxa" w:w="80"/>
              <w:right w:type="dxa" w:w="100"/>
            </w:tcMar>
          </w:tcPr>
          <w:p>
            <w:r>
              <w:rPr>
                <w:b/>
                <w:bCs/>
                <w:sz w:val="20"/>
                <w:szCs w:val="20"/>
              </w:rPr>
              <w:t xml:space="preserve">Question à laquelle elle répond</w:t>
            </w:r>
          </w:p>
        </w:tc>
      </w:tr>
      <w:tr>
        <w:tc>
          <w:tcPr>
            <w:tcW w:type="dxa" w:w="2200"/>
            <w:tcMar>
              <w:top w:type="dxa" w:w="80"/>
              <w:left w:type="dxa" w:w="100"/>
              <w:bottom w:type="dxa" w:w="80"/>
              <w:right w:type="dxa" w:w="100"/>
            </w:tcMar>
          </w:tcPr>
          <w:p>
            <w:r>
              <w:rPr>
                <w:b w:val="false"/>
                <w:bCs w:val="false"/>
                <w:sz w:val="20"/>
                <w:szCs w:val="20"/>
              </w:rPr>
              <w:t xml:space="preserve">Question</w:t>
            </w:r>
          </w:p>
        </w:tc>
        <w:tc>
          <w:tcPr>
            <w:tcW w:type="dxa" w:w="3200"/>
            <w:tcMar>
              <w:top w:type="dxa" w:w="80"/>
              <w:left w:type="dxa" w:w="100"/>
              <w:bottom w:type="dxa" w:w="80"/>
              <w:right w:type="dxa" w:w="100"/>
            </w:tcMar>
          </w:tcPr>
          <w:p>
            <w:r>
              <w:rPr>
                <w:b w:val="false"/>
                <w:bCs w:val="false"/>
                <w:sz w:val="20"/>
                <w:szCs w:val="20"/>
              </w:rPr>
              <w:t xml:space="preserve">Choix unique</w:t>
            </w:r>
          </w:p>
        </w:tc>
        <w:tc>
          <w:tcPr>
            <w:tcW w:type="dxa" w:w="3600"/>
            <w:tcMar>
              <w:top w:type="dxa" w:w="80"/>
              <w:left w:type="dxa" w:w="100"/>
              <w:bottom w:type="dxa" w:w="80"/>
              <w:right w:type="dxa" w:w="100"/>
            </w:tcMar>
          </w:tcPr>
          <w:p>
            <w:r>
              <w:rPr>
                <w:b w:val="false"/>
                <w:bCs w:val="false"/>
                <w:sz w:val="20"/>
                <w:szCs w:val="20"/>
              </w:rPr>
              <w:t xml:space="preserve">Que peut sélectionner le participant ?</w:t>
            </w:r>
          </w:p>
        </w:tc>
      </w:tr>
      <w:tr>
        <w:tc>
          <w:tcPr>
            <w:tcW w:type="dxa" w:w="2200"/>
            <w:tcMar>
              <w:top w:type="dxa" w:w="80"/>
              <w:left w:type="dxa" w:w="100"/>
              <w:bottom w:type="dxa" w:w="80"/>
              <w:right w:type="dxa" w:w="100"/>
            </w:tcMar>
          </w:tcPr>
          <w:p>
            <w:r>
              <w:rPr>
                <w:b w:val="false"/>
                <w:bCs w:val="false"/>
                <w:sz w:val="20"/>
                <w:szCs w:val="20"/>
              </w:rPr>
              <w:t xml:space="preserve">Bulletin</w:t>
            </w:r>
          </w:p>
        </w:tc>
        <w:tc>
          <w:tcPr>
            <w:tcW w:type="dxa" w:w="3200"/>
            <w:tcMar>
              <w:top w:type="dxa" w:w="80"/>
              <w:left w:type="dxa" w:w="100"/>
              <w:bottom w:type="dxa" w:w="80"/>
              <w:right w:type="dxa" w:w="100"/>
            </w:tcMar>
          </w:tcPr>
          <w:p>
            <w:r>
              <w:rPr>
                <w:b w:val="false"/>
                <w:bCs w:val="false"/>
                <w:sz w:val="20"/>
                <w:szCs w:val="20"/>
              </w:rPr>
              <w:t xml:space="preserve">A / B / C</w:t>
            </w:r>
          </w:p>
        </w:tc>
        <w:tc>
          <w:tcPr>
            <w:tcW w:type="dxa" w:w="3600"/>
            <w:tcMar>
              <w:top w:type="dxa" w:w="80"/>
              <w:left w:type="dxa" w:w="100"/>
              <w:bottom w:type="dxa" w:w="80"/>
              <w:right w:type="dxa" w:w="100"/>
            </w:tcMar>
          </w:tcPr>
          <w:p>
            <w:r>
              <w:rPr>
                <w:b w:val="false"/>
                <w:bCs w:val="false"/>
                <w:sz w:val="20"/>
                <w:szCs w:val="20"/>
              </w:rPr>
              <w:t xml:space="preserve">Quelle donnée est enregistrée ?</w:t>
            </w:r>
          </w:p>
        </w:tc>
      </w:tr>
      <w:tr>
        <w:tc>
          <w:tcPr>
            <w:tcW w:type="dxa" w:w="2200"/>
            <w:tcMar>
              <w:top w:type="dxa" w:w="80"/>
              <w:left w:type="dxa" w:w="100"/>
              <w:bottom w:type="dxa" w:w="80"/>
              <w:right w:type="dxa" w:w="100"/>
            </w:tcMar>
          </w:tcPr>
          <w:p>
            <w:r>
              <w:rPr>
                <w:b w:val="false"/>
                <w:bCs w:val="false"/>
                <w:sz w:val="20"/>
                <w:szCs w:val="20"/>
              </w:rPr>
              <w:t xml:space="preserve">Méthode</w:t>
            </w:r>
          </w:p>
        </w:tc>
        <w:tc>
          <w:tcPr>
            <w:tcW w:type="dxa" w:w="3200"/>
            <w:tcMar>
              <w:top w:type="dxa" w:w="80"/>
              <w:left w:type="dxa" w:w="100"/>
              <w:bottom w:type="dxa" w:w="80"/>
              <w:right w:type="dxa" w:w="100"/>
            </w:tcMar>
          </w:tcPr>
          <w:p>
            <w:r>
              <w:rPr>
                <w:b w:val="false"/>
                <w:bCs w:val="false"/>
                <w:sz w:val="20"/>
                <w:szCs w:val="20"/>
              </w:rPr>
              <w:t xml:space="preserve">Majorité simple</w:t>
            </w:r>
          </w:p>
        </w:tc>
        <w:tc>
          <w:tcPr>
            <w:tcW w:type="dxa" w:w="3600"/>
            <w:tcMar>
              <w:top w:type="dxa" w:w="80"/>
              <w:left w:type="dxa" w:w="100"/>
              <w:bottom w:type="dxa" w:w="80"/>
              <w:right w:type="dxa" w:w="100"/>
            </w:tcMar>
          </w:tcPr>
          <w:p>
            <w:r>
              <w:rPr>
                <w:b w:val="false"/>
                <w:bCs w:val="false"/>
                <w:sz w:val="20"/>
                <w:szCs w:val="20"/>
              </w:rPr>
              <w:t xml:space="preserve">Comment déterminer le résultat ?</w:t>
            </w:r>
          </w:p>
        </w:tc>
      </w:tr>
      <w:tr>
        <w:tc>
          <w:tcPr>
            <w:tcW w:type="dxa" w:w="2200"/>
            <w:tcMar>
              <w:top w:type="dxa" w:w="80"/>
              <w:left w:type="dxa" w:w="100"/>
              <w:bottom w:type="dxa" w:w="80"/>
              <w:right w:type="dxa" w:w="100"/>
            </w:tcMar>
          </w:tcPr>
          <w:p>
            <w:r>
              <w:rPr>
                <w:b w:val="false"/>
                <w:bCs w:val="false"/>
                <w:sz w:val="20"/>
                <w:szCs w:val="20"/>
              </w:rPr>
              <w:t xml:space="preserve">Règle</w:t>
            </w:r>
          </w:p>
        </w:tc>
        <w:tc>
          <w:tcPr>
            <w:tcW w:type="dxa" w:w="3200"/>
            <w:tcMar>
              <w:top w:type="dxa" w:w="80"/>
              <w:left w:type="dxa" w:w="100"/>
              <w:bottom w:type="dxa" w:w="80"/>
              <w:right w:type="dxa" w:w="100"/>
            </w:tcMar>
          </w:tcPr>
          <w:p>
            <w:r>
              <w:rPr>
                <w:b w:val="false"/>
                <w:bCs w:val="false"/>
                <w:sz w:val="20"/>
                <w:szCs w:val="20"/>
              </w:rPr>
              <w:t xml:space="preserve">Quorum 50 %</w:t>
            </w:r>
          </w:p>
        </w:tc>
        <w:tc>
          <w:tcPr>
            <w:tcW w:type="dxa" w:w="3600"/>
            <w:tcMar>
              <w:top w:type="dxa" w:w="80"/>
              <w:left w:type="dxa" w:w="100"/>
              <w:bottom w:type="dxa" w:w="80"/>
              <w:right w:type="dxa" w:w="100"/>
            </w:tcMar>
          </w:tcPr>
          <w:p>
            <w:r>
              <w:rPr>
                <w:b w:val="false"/>
                <w:bCs w:val="false"/>
                <w:sz w:val="20"/>
                <w:szCs w:val="20"/>
              </w:rPr>
              <w:t xml:space="preserve">Quand le résultat est-il valide ?</w:t>
            </w:r>
          </w:p>
        </w:tc>
      </w:tr>
      <w:tr>
        <w:tc>
          <w:tcPr>
            <w:tcW w:type="dxa" w:w="2200"/>
            <w:tcMar>
              <w:top w:type="dxa" w:w="80"/>
              <w:left w:type="dxa" w:w="100"/>
              <w:bottom w:type="dxa" w:w="80"/>
              <w:right w:type="dxa" w:w="100"/>
            </w:tcMar>
          </w:tcPr>
          <w:p>
            <w:r>
              <w:rPr>
                <w:b w:val="false"/>
                <w:bCs w:val="false"/>
                <w:sz w:val="20"/>
                <w:szCs w:val="20"/>
              </w:rPr>
              <w:t xml:space="preserve">Restitution</w:t>
            </w:r>
          </w:p>
        </w:tc>
        <w:tc>
          <w:tcPr>
            <w:tcW w:type="dxa" w:w="3200"/>
            <w:tcMar>
              <w:top w:type="dxa" w:w="80"/>
              <w:left w:type="dxa" w:w="100"/>
              <w:bottom w:type="dxa" w:w="80"/>
              <w:right w:type="dxa" w:w="100"/>
            </w:tcMar>
          </w:tcPr>
          <w:p>
            <w:r>
              <w:rPr>
                <w:b w:val="false"/>
                <w:bCs w:val="false"/>
                <w:sz w:val="20"/>
                <w:szCs w:val="20"/>
              </w:rPr>
              <w:t xml:space="preserve">Barres + tableau</w:t>
            </w:r>
          </w:p>
        </w:tc>
        <w:tc>
          <w:tcPr>
            <w:tcW w:type="dxa" w:w="3600"/>
            <w:tcMar>
              <w:top w:type="dxa" w:w="80"/>
              <w:left w:type="dxa" w:w="100"/>
              <w:bottom w:type="dxa" w:w="80"/>
              <w:right w:type="dxa" w:w="100"/>
            </w:tcMar>
          </w:tcPr>
          <w:p>
            <w:r>
              <w:rPr>
                <w:b w:val="false"/>
                <w:bCs w:val="false"/>
                <w:sz w:val="20"/>
                <w:szCs w:val="20"/>
              </w:rPr>
              <w:t xml:space="preserve">Comment expliquer le résultat ?</w:t>
            </w:r>
          </w:p>
        </w:tc>
      </w:tr>
    </w:tbl>
    <w:p>
      <w:pPr>
        <w:pStyle w:val="Heading1"/>
        <w:spacing w:after="200" w:before="400"/>
      </w:pPr>
      <w:r>
        <w:t xml:space="preserve">8. Vocabulaire statistique et électoral</w:t>
      </w:r>
    </w:p>
    <w:p>
      <w:pPr>
        <w:spacing w:after="160"/>
        <w:jc w:val="left"/>
      </w:pPr>
      <w:r>
        <w:rPr>
          <w:b w:val="false"/>
          <w:bCs w:val="false"/>
          <w:i w:val="false"/>
          <w:iCs w:val="false"/>
        </w:rPr>
        <w:t xml:space="preserve">Trois familles de vocabulaire, à ne pas mélanger dans le modèle de données : les indicateurs de participation (dépendent des règles du scrutin), les statistiques descriptives (génériques, réutilisables) et le vocabulaire d'analyse croisée. Le moteur statistique devra toujours distinguer les indicateurs descriptifs des interprétations : une interface peut calculer et afficher une proportion sans conclure que cette proportion représente l'opinion de toute une population.</w:t>
      </w:r>
    </w:p>
    <w:p>
      <w:pPr>
        <w:pStyle w:val="Heading2"/>
        <w:spacing w:after="150" w:before="300"/>
      </w:pPr>
      <w:r>
        <w:t xml:space="preserve">8.1 Indicateurs électoraux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AF1F8" w:val="clear"/>
            <w:tcMar>
              <w:top w:type="dxa" w:w="80"/>
              <w:left w:type="dxa" w:w="100"/>
              <w:bottom w:type="dxa" w:w="80"/>
              <w:right w:type="dxa" w:w="100"/>
            </w:tcMar>
          </w:tcPr>
          <w:p>
            <w:r>
              <w:rPr>
                <w:b/>
                <w:bCs/>
                <w:sz w:val="20"/>
                <w:szCs w:val="20"/>
              </w:rPr>
              <w:t xml:space="preserve">Terme</w:t>
            </w:r>
          </w:p>
        </w:tc>
        <w:tc>
          <w:tcPr>
            <w:tcW w:type="dxa" w:w="6000"/>
            <w:shd w:fill="EAF1F8" w:val="clear"/>
            <w:tcMar>
              <w:top w:type="dxa" w:w="80"/>
              <w:left w:type="dxa" w:w="100"/>
              <w:bottom w:type="dxa" w:w="80"/>
              <w:right w:type="dxa" w:w="100"/>
            </w:tcMar>
          </w:tcPr>
          <w:p>
            <w:r>
              <w:rPr>
                <w:b/>
                <w:bCs/>
                <w:sz w:val="20"/>
                <w:szCs w:val="20"/>
              </w:rPr>
              <w:t xml:space="preserve">Définition fonctionnelle</w:t>
            </w:r>
          </w:p>
        </w:tc>
      </w:tr>
      <w:tr>
        <w:tc>
          <w:tcPr>
            <w:tcW w:type="dxa" w:w="3000"/>
            <w:tcMar>
              <w:top w:type="dxa" w:w="80"/>
              <w:left w:type="dxa" w:w="100"/>
              <w:bottom w:type="dxa" w:w="80"/>
              <w:right w:type="dxa" w:w="100"/>
            </w:tcMar>
          </w:tcPr>
          <w:p>
            <w:r>
              <w:rPr>
                <w:b w:val="false"/>
                <w:bCs w:val="false"/>
                <w:sz w:val="20"/>
                <w:szCs w:val="20"/>
              </w:rPr>
              <w:t xml:space="preserve">Participation</w:t>
            </w:r>
          </w:p>
        </w:tc>
        <w:tc>
          <w:tcPr>
            <w:tcW w:type="dxa" w:w="6000"/>
            <w:tcMar>
              <w:top w:type="dxa" w:w="80"/>
              <w:left w:type="dxa" w:w="100"/>
              <w:bottom w:type="dxa" w:w="80"/>
              <w:right w:type="dxa" w:w="100"/>
            </w:tcMar>
          </w:tcPr>
          <w:p>
            <w:r>
              <w:rPr>
                <w:b w:val="false"/>
                <w:bCs w:val="false"/>
                <w:sz w:val="20"/>
                <w:szCs w:val="20"/>
              </w:rPr>
              <w:t xml:space="preserve">Part des personnes habilitées ayant effectivement participé.</w:t>
            </w:r>
          </w:p>
        </w:tc>
      </w:tr>
      <w:tr>
        <w:tc>
          <w:tcPr>
            <w:tcW w:type="dxa" w:w="3000"/>
            <w:tcMar>
              <w:top w:type="dxa" w:w="80"/>
              <w:left w:type="dxa" w:w="100"/>
              <w:bottom w:type="dxa" w:w="80"/>
              <w:right w:type="dxa" w:w="100"/>
            </w:tcMar>
          </w:tcPr>
          <w:p>
            <w:r>
              <w:rPr>
                <w:b w:val="false"/>
                <w:bCs w:val="false"/>
                <w:sz w:val="20"/>
                <w:szCs w:val="20"/>
              </w:rPr>
              <w:t xml:space="preserve">Taux de participation</w:t>
            </w:r>
          </w:p>
        </w:tc>
        <w:tc>
          <w:tcPr>
            <w:tcW w:type="dxa" w:w="6000"/>
            <w:tcMar>
              <w:top w:type="dxa" w:w="80"/>
              <w:left w:type="dxa" w:w="100"/>
              <w:bottom w:type="dxa" w:w="80"/>
              <w:right w:type="dxa" w:w="100"/>
            </w:tcMar>
          </w:tcPr>
          <w:p>
            <w:r>
              <w:rPr>
                <w:b w:val="false"/>
                <w:bCs w:val="false"/>
                <w:sz w:val="20"/>
                <w:szCs w:val="20"/>
              </w:rPr>
              <w:t xml:space="preserve">Participants / population éligible.</w:t>
            </w:r>
          </w:p>
        </w:tc>
      </w:tr>
      <w:tr>
        <w:tc>
          <w:tcPr>
            <w:tcW w:type="dxa" w:w="3000"/>
            <w:tcMar>
              <w:top w:type="dxa" w:w="80"/>
              <w:left w:type="dxa" w:w="100"/>
              <w:bottom w:type="dxa" w:w="80"/>
              <w:right w:type="dxa" w:w="100"/>
            </w:tcMar>
          </w:tcPr>
          <w:p>
            <w:r>
              <w:rPr>
                <w:b w:val="false"/>
                <w:bCs w:val="false"/>
                <w:sz w:val="20"/>
                <w:szCs w:val="20"/>
              </w:rPr>
              <w:t xml:space="preserve">Suffrages exprimés</w:t>
            </w:r>
          </w:p>
        </w:tc>
        <w:tc>
          <w:tcPr>
            <w:tcW w:type="dxa" w:w="6000"/>
            <w:tcMar>
              <w:top w:type="dxa" w:w="80"/>
              <w:left w:type="dxa" w:w="100"/>
              <w:bottom w:type="dxa" w:w="80"/>
              <w:right w:type="dxa" w:w="100"/>
            </w:tcMar>
          </w:tcPr>
          <w:p>
            <w:r>
              <w:rPr>
                <w:b w:val="false"/>
                <w:bCs w:val="false"/>
                <w:sz w:val="20"/>
                <w:szCs w:val="20"/>
              </w:rPr>
              <w:t xml:space="preserve">Votes retenus pour le calcul selon les règles du scrutin (hors blancs/nuls le cas échéant).</w:t>
            </w:r>
          </w:p>
        </w:tc>
      </w:tr>
      <w:tr>
        <w:tc>
          <w:tcPr>
            <w:tcW w:type="dxa" w:w="3000"/>
            <w:tcMar>
              <w:top w:type="dxa" w:w="80"/>
              <w:left w:type="dxa" w:w="100"/>
              <w:bottom w:type="dxa" w:w="80"/>
              <w:right w:type="dxa" w:w="100"/>
            </w:tcMar>
          </w:tcPr>
          <w:p>
            <w:r>
              <w:rPr>
                <w:b w:val="false"/>
                <w:bCs w:val="false"/>
                <w:sz w:val="20"/>
                <w:szCs w:val="20"/>
              </w:rPr>
              <w:t xml:space="preserve">Abstention</w:t>
            </w:r>
          </w:p>
        </w:tc>
        <w:tc>
          <w:tcPr>
            <w:tcW w:type="dxa" w:w="6000"/>
            <w:tcMar>
              <w:top w:type="dxa" w:w="80"/>
              <w:left w:type="dxa" w:w="100"/>
              <w:bottom w:type="dxa" w:w="80"/>
              <w:right w:type="dxa" w:w="100"/>
            </w:tcMar>
          </w:tcPr>
          <w:p>
            <w:r>
              <w:rPr>
                <w:b w:val="false"/>
                <w:bCs w:val="false"/>
                <w:sz w:val="20"/>
                <w:szCs w:val="20"/>
              </w:rPr>
              <w:t xml:space="preserve">Personnes habilitées n'ayant pas voté, ou choix explicite d'abstention selon le contexte.</w:t>
            </w:r>
          </w:p>
        </w:tc>
      </w:tr>
      <w:tr>
        <w:tc>
          <w:tcPr>
            <w:tcW w:type="dxa" w:w="3000"/>
            <w:tcMar>
              <w:top w:type="dxa" w:w="80"/>
              <w:left w:type="dxa" w:w="100"/>
              <w:bottom w:type="dxa" w:w="80"/>
              <w:right w:type="dxa" w:w="100"/>
            </w:tcMar>
          </w:tcPr>
          <w:p>
            <w:r>
              <w:rPr>
                <w:b w:val="false"/>
                <w:bCs w:val="false"/>
                <w:sz w:val="20"/>
                <w:szCs w:val="20"/>
              </w:rPr>
              <w:t xml:space="preserve">Vote blanc</w:t>
            </w:r>
          </w:p>
        </w:tc>
        <w:tc>
          <w:tcPr>
            <w:tcW w:type="dxa" w:w="6000"/>
            <w:tcMar>
              <w:top w:type="dxa" w:w="80"/>
              <w:left w:type="dxa" w:w="100"/>
              <w:bottom w:type="dxa" w:w="80"/>
              <w:right w:type="dxa" w:w="100"/>
            </w:tcMar>
          </w:tcPr>
          <w:p>
            <w:r>
              <w:rPr>
                <w:b w:val="false"/>
                <w:bCs w:val="false"/>
                <w:sz w:val="20"/>
                <w:szCs w:val="20"/>
              </w:rPr>
              <w:t xml:space="preserve">Bulletin sans choix de candidat/proposition, selon les règles applicables.</w:t>
            </w:r>
          </w:p>
        </w:tc>
      </w:tr>
      <w:tr>
        <w:tc>
          <w:tcPr>
            <w:tcW w:type="dxa" w:w="3000"/>
            <w:tcMar>
              <w:top w:type="dxa" w:w="80"/>
              <w:left w:type="dxa" w:w="100"/>
              <w:bottom w:type="dxa" w:w="80"/>
              <w:right w:type="dxa" w:w="100"/>
            </w:tcMar>
          </w:tcPr>
          <w:p>
            <w:r>
              <w:rPr>
                <w:b w:val="false"/>
                <w:bCs w:val="false"/>
                <w:sz w:val="20"/>
                <w:szCs w:val="20"/>
              </w:rPr>
              <w:t xml:space="preserve">Vote nul</w:t>
            </w:r>
          </w:p>
        </w:tc>
        <w:tc>
          <w:tcPr>
            <w:tcW w:type="dxa" w:w="6000"/>
            <w:tcMar>
              <w:top w:type="dxa" w:w="80"/>
              <w:left w:type="dxa" w:w="100"/>
              <w:bottom w:type="dxa" w:w="80"/>
              <w:right w:type="dxa" w:w="100"/>
            </w:tcMar>
          </w:tcPr>
          <w:p>
            <w:r>
              <w:rPr>
                <w:b w:val="false"/>
                <w:bCs w:val="false"/>
                <w:sz w:val="20"/>
                <w:szCs w:val="20"/>
              </w:rPr>
              <w:t xml:space="preserve">Bulletin non valide selon les règles du scrutin.</w:t>
            </w:r>
          </w:p>
        </w:tc>
      </w:tr>
      <w:tr>
        <w:tc>
          <w:tcPr>
            <w:tcW w:type="dxa" w:w="3000"/>
            <w:tcMar>
              <w:top w:type="dxa" w:w="80"/>
              <w:left w:type="dxa" w:w="100"/>
              <w:bottom w:type="dxa" w:w="80"/>
              <w:right w:type="dxa" w:w="100"/>
            </w:tcMar>
          </w:tcPr>
          <w:p>
            <w:r>
              <w:rPr>
                <w:b w:val="false"/>
                <w:bCs w:val="false"/>
                <w:sz w:val="20"/>
                <w:szCs w:val="20"/>
              </w:rPr>
              <w:t xml:space="preserve">Quorum</w:t>
            </w:r>
          </w:p>
        </w:tc>
        <w:tc>
          <w:tcPr>
            <w:tcW w:type="dxa" w:w="6000"/>
            <w:tcMar>
              <w:top w:type="dxa" w:w="80"/>
              <w:left w:type="dxa" w:w="100"/>
              <w:bottom w:type="dxa" w:w="80"/>
              <w:right w:type="dxa" w:w="100"/>
            </w:tcMar>
          </w:tcPr>
          <w:p>
            <w:r>
              <w:rPr>
                <w:b w:val="false"/>
                <w:bCs w:val="false"/>
                <w:sz w:val="20"/>
                <w:szCs w:val="20"/>
              </w:rPr>
              <w:t xml:space="preserve">Seuil minimal de participation requis pour qu'une décision soit valide.</w:t>
            </w:r>
          </w:p>
        </w:tc>
      </w:tr>
      <w:tr>
        <w:tc>
          <w:tcPr>
            <w:tcW w:type="dxa" w:w="3000"/>
            <w:tcMar>
              <w:top w:type="dxa" w:w="80"/>
              <w:left w:type="dxa" w:w="100"/>
              <w:bottom w:type="dxa" w:w="80"/>
              <w:right w:type="dxa" w:w="100"/>
            </w:tcMar>
          </w:tcPr>
          <w:p>
            <w:r>
              <w:rPr>
                <w:b w:val="false"/>
                <w:bCs w:val="false"/>
                <w:sz w:val="20"/>
                <w:szCs w:val="20"/>
              </w:rPr>
              <w:t xml:space="preserve">Majorité simple</w:t>
            </w:r>
          </w:p>
        </w:tc>
        <w:tc>
          <w:tcPr>
            <w:tcW w:type="dxa" w:w="6000"/>
            <w:tcMar>
              <w:top w:type="dxa" w:w="80"/>
              <w:left w:type="dxa" w:w="100"/>
              <w:bottom w:type="dxa" w:w="80"/>
              <w:right w:type="dxa" w:w="100"/>
            </w:tcMar>
          </w:tcPr>
          <w:p>
            <w:r>
              <w:rPr>
                <w:b w:val="false"/>
                <w:bCs w:val="false"/>
                <w:sz w:val="20"/>
                <w:szCs w:val="20"/>
              </w:rPr>
              <w:t xml:space="preserve">L'option obtenant le plus de voix l'emporte.</w:t>
            </w:r>
          </w:p>
        </w:tc>
      </w:tr>
      <w:tr>
        <w:tc>
          <w:tcPr>
            <w:tcW w:type="dxa" w:w="3000"/>
            <w:tcMar>
              <w:top w:type="dxa" w:w="80"/>
              <w:left w:type="dxa" w:w="100"/>
              <w:bottom w:type="dxa" w:w="80"/>
              <w:right w:type="dxa" w:w="100"/>
            </w:tcMar>
          </w:tcPr>
          <w:p>
            <w:r>
              <w:rPr>
                <w:b w:val="false"/>
                <w:bCs w:val="false"/>
                <w:sz w:val="20"/>
                <w:szCs w:val="20"/>
              </w:rPr>
              <w:t xml:space="preserve">Majorité absolue</w:t>
            </w:r>
          </w:p>
        </w:tc>
        <w:tc>
          <w:tcPr>
            <w:tcW w:type="dxa" w:w="6000"/>
            <w:tcMar>
              <w:top w:type="dxa" w:w="80"/>
              <w:left w:type="dxa" w:w="100"/>
              <w:bottom w:type="dxa" w:w="80"/>
              <w:right w:type="dxa" w:w="100"/>
            </w:tcMar>
          </w:tcPr>
          <w:p>
            <w:r>
              <w:rPr>
                <w:b w:val="false"/>
                <w:bCs w:val="false"/>
                <w:sz w:val="20"/>
                <w:szCs w:val="20"/>
              </w:rPr>
              <w:t xml:space="preserve">Seuil supérieur à la moitié de la base de calcul définie.</w:t>
            </w:r>
          </w:p>
        </w:tc>
      </w:tr>
      <w:tr>
        <w:tc>
          <w:tcPr>
            <w:tcW w:type="dxa" w:w="3000"/>
            <w:tcMar>
              <w:top w:type="dxa" w:w="80"/>
              <w:left w:type="dxa" w:w="100"/>
              <w:bottom w:type="dxa" w:w="80"/>
              <w:right w:type="dxa" w:w="100"/>
            </w:tcMar>
          </w:tcPr>
          <w:p>
            <w:r>
              <w:rPr>
                <w:b w:val="false"/>
                <w:bCs w:val="false"/>
                <w:sz w:val="20"/>
                <w:szCs w:val="20"/>
              </w:rPr>
              <w:t xml:space="preserve">Majorité qualifiée</w:t>
            </w:r>
          </w:p>
        </w:tc>
        <w:tc>
          <w:tcPr>
            <w:tcW w:type="dxa" w:w="6000"/>
            <w:tcMar>
              <w:top w:type="dxa" w:w="80"/>
              <w:left w:type="dxa" w:w="100"/>
              <w:bottom w:type="dxa" w:w="80"/>
              <w:right w:type="dxa" w:w="100"/>
            </w:tcMar>
          </w:tcPr>
          <w:p>
            <w:r>
              <w:rPr>
                <w:b w:val="false"/>
                <w:bCs w:val="false"/>
                <w:sz w:val="20"/>
                <w:szCs w:val="20"/>
              </w:rPr>
              <w:t xml:space="preserve">Majorité nécessitant un seuil spécifique, supérieur à la majorité simple.</w:t>
            </w:r>
          </w:p>
        </w:tc>
      </w:tr>
    </w:tbl>
    <w:p>
      <w:pPr>
        <w:pStyle w:val="Heading2"/>
        <w:spacing w:after="150" w:before="300"/>
      </w:pPr>
      <w:r>
        <w:t xml:space="preserve">8.2 Méthodes de vote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AF1F8" w:val="clear"/>
            <w:tcMar>
              <w:top w:type="dxa" w:w="80"/>
              <w:left w:type="dxa" w:w="100"/>
              <w:bottom w:type="dxa" w:w="80"/>
              <w:right w:type="dxa" w:w="100"/>
            </w:tcMar>
          </w:tcPr>
          <w:p>
            <w:r>
              <w:rPr>
                <w:b/>
                <w:bCs/>
                <w:sz w:val="20"/>
                <w:szCs w:val="20"/>
              </w:rPr>
              <w:t xml:space="preserve">Terme</w:t>
            </w:r>
          </w:p>
        </w:tc>
        <w:tc>
          <w:tcPr>
            <w:tcW w:type="dxa" w:w="6000"/>
            <w:shd w:fill="EAF1F8" w:val="clear"/>
            <w:tcMar>
              <w:top w:type="dxa" w:w="80"/>
              <w:left w:type="dxa" w:w="100"/>
              <w:bottom w:type="dxa" w:w="80"/>
              <w:right w:type="dxa" w:w="100"/>
            </w:tcMar>
          </w:tcPr>
          <w:p>
            <w:r>
              <w:rPr>
                <w:b/>
                <w:bCs/>
                <w:sz w:val="20"/>
                <w:szCs w:val="20"/>
              </w:rPr>
              <w:t xml:space="preserve">Définition fonctionnelle</w:t>
            </w:r>
          </w:p>
        </w:tc>
      </w:tr>
      <w:tr>
        <w:tc>
          <w:tcPr>
            <w:tcW w:type="dxa" w:w="3000"/>
            <w:tcMar>
              <w:top w:type="dxa" w:w="80"/>
              <w:left w:type="dxa" w:w="100"/>
              <w:bottom w:type="dxa" w:w="80"/>
              <w:right w:type="dxa" w:w="100"/>
            </w:tcMar>
          </w:tcPr>
          <w:p>
            <w:r>
              <w:rPr>
                <w:b w:val="false"/>
                <w:bCs w:val="false"/>
                <w:sz w:val="20"/>
                <w:szCs w:val="20"/>
              </w:rPr>
              <w:t xml:space="preserve">Vote d'approbation</w:t>
            </w:r>
          </w:p>
        </w:tc>
        <w:tc>
          <w:tcPr>
            <w:tcW w:type="dxa" w:w="6000"/>
            <w:tcMar>
              <w:top w:type="dxa" w:w="80"/>
              <w:left w:type="dxa" w:w="100"/>
              <w:bottom w:type="dxa" w:w="80"/>
              <w:right w:type="dxa" w:w="100"/>
            </w:tcMar>
          </w:tcPr>
          <w:p>
            <w:r>
              <w:rPr>
                <w:b w:val="false"/>
                <w:bCs w:val="false"/>
                <w:sz w:val="20"/>
                <w:szCs w:val="20"/>
              </w:rPr>
              <w:t xml:space="preserve">Le participant peut approuver plusieurs options sans les classer.</w:t>
            </w:r>
          </w:p>
        </w:tc>
      </w:tr>
      <w:tr>
        <w:tc>
          <w:tcPr>
            <w:tcW w:type="dxa" w:w="3000"/>
            <w:tcMar>
              <w:top w:type="dxa" w:w="80"/>
              <w:left w:type="dxa" w:w="100"/>
              <w:bottom w:type="dxa" w:w="80"/>
              <w:right w:type="dxa" w:w="100"/>
            </w:tcMar>
          </w:tcPr>
          <w:p>
            <w:r>
              <w:rPr>
                <w:b w:val="false"/>
                <w:bCs w:val="false"/>
                <w:sz w:val="20"/>
                <w:szCs w:val="20"/>
              </w:rPr>
              <w:t xml:space="preserve">Vote par score</w:t>
            </w:r>
          </w:p>
        </w:tc>
        <w:tc>
          <w:tcPr>
            <w:tcW w:type="dxa" w:w="6000"/>
            <w:tcMar>
              <w:top w:type="dxa" w:w="80"/>
              <w:left w:type="dxa" w:w="100"/>
              <w:bottom w:type="dxa" w:w="80"/>
              <w:right w:type="dxa" w:w="100"/>
            </w:tcMar>
          </w:tcPr>
          <w:p>
            <w:r>
              <w:rPr>
                <w:b w:val="false"/>
                <w:bCs w:val="false"/>
                <w:sz w:val="20"/>
                <w:szCs w:val="20"/>
              </w:rPr>
              <w:t xml:space="preserve">Le participant attribue une note à une ou plusieurs options.</w:t>
            </w:r>
          </w:p>
        </w:tc>
      </w:tr>
      <w:tr>
        <w:tc>
          <w:tcPr>
            <w:tcW w:type="dxa" w:w="3000"/>
            <w:tcMar>
              <w:top w:type="dxa" w:w="80"/>
              <w:left w:type="dxa" w:w="100"/>
              <w:bottom w:type="dxa" w:w="80"/>
              <w:right w:type="dxa" w:w="100"/>
            </w:tcMar>
          </w:tcPr>
          <w:p>
            <w:r>
              <w:rPr>
                <w:b w:val="false"/>
                <w:bCs w:val="false"/>
                <w:sz w:val="20"/>
                <w:szCs w:val="20"/>
              </w:rPr>
              <w:t xml:space="preserve">Vote préférentiel</w:t>
            </w:r>
          </w:p>
        </w:tc>
        <w:tc>
          <w:tcPr>
            <w:tcW w:type="dxa" w:w="6000"/>
            <w:tcMar>
              <w:top w:type="dxa" w:w="80"/>
              <w:left w:type="dxa" w:w="100"/>
              <w:bottom w:type="dxa" w:w="80"/>
              <w:right w:type="dxa" w:w="100"/>
            </w:tcMar>
          </w:tcPr>
          <w:p>
            <w:r>
              <w:rPr>
                <w:b w:val="false"/>
                <w:bCs w:val="false"/>
                <w:sz w:val="20"/>
                <w:szCs w:val="20"/>
              </w:rPr>
              <w:t xml:space="preserve">Le participant classe des options selon ses préférences.</w:t>
            </w:r>
          </w:p>
        </w:tc>
      </w:tr>
      <w:tr>
        <w:tc>
          <w:tcPr>
            <w:tcW w:type="dxa" w:w="3000"/>
            <w:tcMar>
              <w:top w:type="dxa" w:w="80"/>
              <w:left w:type="dxa" w:w="100"/>
              <w:bottom w:type="dxa" w:w="80"/>
              <w:right w:type="dxa" w:w="100"/>
            </w:tcMar>
          </w:tcPr>
          <w:p>
            <w:r>
              <w:rPr>
                <w:b w:val="false"/>
                <w:bCs w:val="false"/>
                <w:sz w:val="20"/>
                <w:szCs w:val="20"/>
              </w:rPr>
              <w:t xml:space="preserve">Méthode Condorcet</w:t>
            </w:r>
          </w:p>
        </w:tc>
        <w:tc>
          <w:tcPr>
            <w:tcW w:type="dxa" w:w="6000"/>
            <w:tcMar>
              <w:top w:type="dxa" w:w="80"/>
              <w:left w:type="dxa" w:w="100"/>
              <w:bottom w:type="dxa" w:w="80"/>
              <w:right w:type="dxa" w:w="100"/>
            </w:tcMar>
          </w:tcPr>
          <w:p>
            <w:r>
              <w:rPr>
                <w:b w:val="false"/>
                <w:bCs w:val="false"/>
                <w:sz w:val="20"/>
                <w:szCs w:val="20"/>
              </w:rPr>
              <w:t xml:space="preserve">Famille de méthodes comparant les candidats deux à deux ; le vainqueur bat tous les autres en duel.</w:t>
            </w:r>
          </w:p>
        </w:tc>
      </w:tr>
      <w:tr>
        <w:tc>
          <w:tcPr>
            <w:tcW w:type="dxa" w:w="3000"/>
            <w:tcMar>
              <w:top w:type="dxa" w:w="80"/>
              <w:left w:type="dxa" w:w="100"/>
              <w:bottom w:type="dxa" w:w="80"/>
              <w:right w:type="dxa" w:w="100"/>
            </w:tcMar>
          </w:tcPr>
          <w:p>
            <w:r>
              <w:rPr>
                <w:b w:val="false"/>
                <w:bCs w:val="false"/>
                <w:sz w:val="20"/>
                <w:szCs w:val="20"/>
              </w:rPr>
              <w:t xml:space="preserve">Méthode Schulze</w:t>
            </w:r>
          </w:p>
        </w:tc>
        <w:tc>
          <w:tcPr>
            <w:tcW w:type="dxa" w:w="6000"/>
            <w:tcMar>
              <w:top w:type="dxa" w:w="80"/>
              <w:left w:type="dxa" w:w="100"/>
              <w:bottom w:type="dxa" w:w="80"/>
              <w:right w:type="dxa" w:w="100"/>
            </w:tcMar>
          </w:tcPr>
          <w:p>
            <w:r>
              <w:rPr>
                <w:b w:val="false"/>
                <w:bCs w:val="false"/>
                <w:sz w:val="20"/>
                <w:szCs w:val="20"/>
              </w:rPr>
              <w:t xml:space="preserve">Variante de Condorcet résolvant les cycles par les chemins les plus forts.</w:t>
            </w:r>
          </w:p>
        </w:tc>
      </w:tr>
      <w:tr>
        <w:tc>
          <w:tcPr>
            <w:tcW w:type="dxa" w:w="3000"/>
            <w:tcMar>
              <w:top w:type="dxa" w:w="80"/>
              <w:left w:type="dxa" w:w="100"/>
              <w:bottom w:type="dxa" w:w="80"/>
              <w:right w:type="dxa" w:w="100"/>
            </w:tcMar>
          </w:tcPr>
          <w:p>
            <w:r>
              <w:rPr>
                <w:b w:val="false"/>
                <w:bCs w:val="false"/>
                <w:sz w:val="20"/>
                <w:szCs w:val="20"/>
              </w:rPr>
              <w:t xml:space="preserve">Jugement majoritaire</w:t>
            </w:r>
          </w:p>
        </w:tc>
        <w:tc>
          <w:tcPr>
            <w:tcW w:type="dxa" w:w="6000"/>
            <w:tcMar>
              <w:top w:type="dxa" w:w="80"/>
              <w:left w:type="dxa" w:w="100"/>
              <w:bottom w:type="dxa" w:w="80"/>
              <w:right w:type="dxa" w:w="100"/>
            </w:tcMar>
          </w:tcPr>
          <w:p>
            <w:r>
              <w:rPr>
                <w:b w:val="false"/>
                <w:bCs w:val="false"/>
                <w:sz w:val="20"/>
                <w:szCs w:val="20"/>
              </w:rPr>
              <w:t xml:space="preserve">Le participant attribue une mention (ex. excellent à rejeter) à chaque option ; le classement se fait sur la mention médiane.</w:t>
            </w:r>
          </w:p>
        </w:tc>
      </w:tr>
      <w:tr>
        <w:tc>
          <w:tcPr>
            <w:tcW w:type="dxa" w:w="3000"/>
            <w:tcMar>
              <w:top w:type="dxa" w:w="80"/>
              <w:left w:type="dxa" w:w="100"/>
              <w:bottom w:type="dxa" w:w="80"/>
              <w:right w:type="dxa" w:w="100"/>
            </w:tcMar>
          </w:tcPr>
          <w:p>
            <w:r>
              <w:rPr>
                <w:b w:val="false"/>
                <w:bCs w:val="false"/>
                <w:sz w:val="20"/>
                <w:szCs w:val="20"/>
              </w:rPr>
              <w:t xml:space="preserve">STV (Single Transferable Vote)</w:t>
            </w:r>
          </w:p>
        </w:tc>
        <w:tc>
          <w:tcPr>
            <w:tcW w:type="dxa" w:w="6000"/>
            <w:tcMar>
              <w:top w:type="dxa" w:w="80"/>
              <w:left w:type="dxa" w:w="100"/>
              <w:bottom w:type="dxa" w:w="80"/>
              <w:right w:type="dxa" w:w="100"/>
            </w:tcMar>
          </w:tcPr>
          <w:p>
            <w:r>
              <w:rPr>
                <w:b w:val="false"/>
                <w:bCs w:val="false"/>
                <w:sz w:val="20"/>
                <w:szCs w:val="20"/>
              </w:rPr>
              <w:t xml:space="preserve">Système à préférences avec transfert de voix, pour élire plusieurs sièges proportionnellement.</w:t>
            </w:r>
          </w:p>
        </w:tc>
      </w:tr>
    </w:tbl>
    <w:p>
      <w:pPr>
        <w:pStyle w:val="Heading2"/>
        <w:spacing w:after="150" w:before="300"/>
      </w:pPr>
      <w:r>
        <w:t xml:space="preserve">8.3 Statistiques descriptives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AF1F8" w:val="clear"/>
            <w:tcMar>
              <w:top w:type="dxa" w:w="80"/>
              <w:left w:type="dxa" w:w="100"/>
              <w:bottom w:type="dxa" w:w="80"/>
              <w:right w:type="dxa" w:w="100"/>
            </w:tcMar>
          </w:tcPr>
          <w:p>
            <w:r>
              <w:rPr>
                <w:b/>
                <w:bCs/>
                <w:sz w:val="20"/>
                <w:szCs w:val="20"/>
              </w:rPr>
              <w:t xml:space="preserve">Terme</w:t>
            </w:r>
          </w:p>
        </w:tc>
        <w:tc>
          <w:tcPr>
            <w:tcW w:type="dxa" w:w="6000"/>
            <w:shd w:fill="EAF1F8" w:val="clear"/>
            <w:tcMar>
              <w:top w:type="dxa" w:w="80"/>
              <w:left w:type="dxa" w:w="100"/>
              <w:bottom w:type="dxa" w:w="80"/>
              <w:right w:type="dxa" w:w="100"/>
            </w:tcMar>
          </w:tcPr>
          <w:p>
            <w:r>
              <w:rPr>
                <w:b/>
                <w:bCs/>
                <w:sz w:val="20"/>
                <w:szCs w:val="20"/>
              </w:rPr>
              <w:t xml:space="preserve">Définition fonctionnelle</w:t>
            </w:r>
          </w:p>
        </w:tc>
      </w:tr>
      <w:tr>
        <w:tc>
          <w:tcPr>
            <w:tcW w:type="dxa" w:w="3000"/>
            <w:tcMar>
              <w:top w:type="dxa" w:w="80"/>
              <w:left w:type="dxa" w:w="100"/>
              <w:bottom w:type="dxa" w:w="80"/>
              <w:right w:type="dxa" w:w="100"/>
            </w:tcMar>
          </w:tcPr>
          <w:p>
            <w:r>
              <w:rPr>
                <w:b w:val="false"/>
                <w:bCs w:val="false"/>
                <w:sz w:val="20"/>
                <w:szCs w:val="20"/>
              </w:rPr>
              <w:t xml:space="preserve">Fréquence</w:t>
            </w:r>
          </w:p>
        </w:tc>
        <w:tc>
          <w:tcPr>
            <w:tcW w:type="dxa" w:w="6000"/>
            <w:tcMar>
              <w:top w:type="dxa" w:w="80"/>
              <w:left w:type="dxa" w:w="100"/>
              <w:bottom w:type="dxa" w:w="80"/>
              <w:right w:type="dxa" w:w="100"/>
            </w:tcMar>
          </w:tcPr>
          <w:p>
            <w:r>
              <w:rPr>
                <w:b w:val="false"/>
                <w:bCs w:val="false"/>
                <w:sz w:val="20"/>
                <w:szCs w:val="20"/>
              </w:rPr>
              <w:t xml:space="preserve">Nombre d'occurrences d'une valeur ou d'une catégorie.</w:t>
            </w:r>
          </w:p>
        </w:tc>
      </w:tr>
      <w:tr>
        <w:tc>
          <w:tcPr>
            <w:tcW w:type="dxa" w:w="3000"/>
            <w:tcMar>
              <w:top w:type="dxa" w:w="80"/>
              <w:left w:type="dxa" w:w="100"/>
              <w:bottom w:type="dxa" w:w="80"/>
              <w:right w:type="dxa" w:w="100"/>
            </w:tcMar>
          </w:tcPr>
          <w:p>
            <w:r>
              <w:rPr>
                <w:b w:val="false"/>
                <w:bCs w:val="false"/>
                <w:sz w:val="20"/>
                <w:szCs w:val="20"/>
              </w:rPr>
              <w:t xml:space="preserve">Proportion</w:t>
            </w:r>
          </w:p>
        </w:tc>
        <w:tc>
          <w:tcPr>
            <w:tcW w:type="dxa" w:w="6000"/>
            <w:tcMar>
              <w:top w:type="dxa" w:w="80"/>
              <w:left w:type="dxa" w:w="100"/>
              <w:bottom w:type="dxa" w:w="80"/>
              <w:right w:type="dxa" w:w="100"/>
            </w:tcMar>
          </w:tcPr>
          <w:p>
            <w:r>
              <w:rPr>
                <w:b w:val="false"/>
                <w:bCs w:val="false"/>
                <w:sz w:val="20"/>
                <w:szCs w:val="20"/>
              </w:rPr>
              <w:t xml:space="preserve">Part d'un groupe dans un ensemble.</w:t>
            </w:r>
          </w:p>
        </w:tc>
      </w:tr>
      <w:tr>
        <w:tc>
          <w:tcPr>
            <w:tcW w:type="dxa" w:w="3000"/>
            <w:tcMar>
              <w:top w:type="dxa" w:w="80"/>
              <w:left w:type="dxa" w:w="100"/>
              <w:bottom w:type="dxa" w:w="80"/>
              <w:right w:type="dxa" w:w="100"/>
            </w:tcMar>
          </w:tcPr>
          <w:p>
            <w:r>
              <w:rPr>
                <w:b w:val="false"/>
                <w:bCs w:val="false"/>
                <w:sz w:val="20"/>
                <w:szCs w:val="20"/>
              </w:rPr>
              <w:t xml:space="preserve">Moyenne</w:t>
            </w:r>
          </w:p>
        </w:tc>
        <w:tc>
          <w:tcPr>
            <w:tcW w:type="dxa" w:w="6000"/>
            <w:tcMar>
              <w:top w:type="dxa" w:w="80"/>
              <w:left w:type="dxa" w:w="100"/>
              <w:bottom w:type="dxa" w:w="80"/>
              <w:right w:type="dxa" w:w="100"/>
            </w:tcMar>
          </w:tcPr>
          <w:p>
            <w:r>
              <w:rPr>
                <w:b w:val="false"/>
                <w:bCs w:val="false"/>
                <w:sz w:val="20"/>
                <w:szCs w:val="20"/>
              </w:rPr>
              <w:t xml:space="preserve">Somme des valeurs divisée par leur nombre.</w:t>
            </w:r>
          </w:p>
        </w:tc>
      </w:tr>
      <w:tr>
        <w:tc>
          <w:tcPr>
            <w:tcW w:type="dxa" w:w="3000"/>
            <w:tcMar>
              <w:top w:type="dxa" w:w="80"/>
              <w:left w:type="dxa" w:w="100"/>
              <w:bottom w:type="dxa" w:w="80"/>
              <w:right w:type="dxa" w:w="100"/>
            </w:tcMar>
          </w:tcPr>
          <w:p>
            <w:r>
              <w:rPr>
                <w:b w:val="false"/>
                <w:bCs w:val="false"/>
                <w:sz w:val="20"/>
                <w:szCs w:val="20"/>
              </w:rPr>
              <w:t xml:space="preserve">Médiane</w:t>
            </w:r>
          </w:p>
        </w:tc>
        <w:tc>
          <w:tcPr>
            <w:tcW w:type="dxa" w:w="6000"/>
            <w:tcMar>
              <w:top w:type="dxa" w:w="80"/>
              <w:left w:type="dxa" w:w="100"/>
              <w:bottom w:type="dxa" w:w="80"/>
              <w:right w:type="dxa" w:w="100"/>
            </w:tcMar>
          </w:tcPr>
          <w:p>
            <w:r>
              <w:rPr>
                <w:b w:val="false"/>
                <w:bCs w:val="false"/>
                <w:sz w:val="20"/>
                <w:szCs w:val="20"/>
              </w:rPr>
              <w:t xml:space="preserve">Valeur séparant les observations en deux moitiés égales.</w:t>
            </w:r>
          </w:p>
        </w:tc>
      </w:tr>
      <w:tr>
        <w:tc>
          <w:tcPr>
            <w:tcW w:type="dxa" w:w="3000"/>
            <w:tcMar>
              <w:top w:type="dxa" w:w="80"/>
              <w:left w:type="dxa" w:w="100"/>
              <w:bottom w:type="dxa" w:w="80"/>
              <w:right w:type="dxa" w:w="100"/>
            </w:tcMar>
          </w:tcPr>
          <w:p>
            <w:r>
              <w:rPr>
                <w:b w:val="false"/>
                <w:bCs w:val="false"/>
                <w:sz w:val="20"/>
                <w:szCs w:val="20"/>
              </w:rPr>
              <w:t xml:space="preserve">Mode</w:t>
            </w:r>
          </w:p>
        </w:tc>
        <w:tc>
          <w:tcPr>
            <w:tcW w:type="dxa" w:w="6000"/>
            <w:tcMar>
              <w:top w:type="dxa" w:w="80"/>
              <w:left w:type="dxa" w:w="100"/>
              <w:bottom w:type="dxa" w:w="80"/>
              <w:right w:type="dxa" w:w="100"/>
            </w:tcMar>
          </w:tcPr>
          <w:p>
            <w:r>
              <w:rPr>
                <w:b w:val="false"/>
                <w:bCs w:val="false"/>
                <w:sz w:val="20"/>
                <w:szCs w:val="20"/>
              </w:rPr>
              <w:t xml:space="preserve">Valeur ou catégorie la plus fréquente.</w:t>
            </w:r>
          </w:p>
        </w:tc>
      </w:tr>
      <w:tr>
        <w:tc>
          <w:tcPr>
            <w:tcW w:type="dxa" w:w="3000"/>
            <w:tcMar>
              <w:top w:type="dxa" w:w="80"/>
              <w:left w:type="dxa" w:w="100"/>
              <w:bottom w:type="dxa" w:w="80"/>
              <w:right w:type="dxa" w:w="100"/>
            </w:tcMar>
          </w:tcPr>
          <w:p>
            <w:r>
              <w:rPr>
                <w:b w:val="false"/>
                <w:bCs w:val="false"/>
                <w:sz w:val="20"/>
                <w:szCs w:val="20"/>
              </w:rPr>
              <w:t xml:space="preserve">Variance</w:t>
            </w:r>
          </w:p>
        </w:tc>
        <w:tc>
          <w:tcPr>
            <w:tcW w:type="dxa" w:w="6000"/>
            <w:tcMar>
              <w:top w:type="dxa" w:w="80"/>
              <w:left w:type="dxa" w:w="100"/>
              <w:bottom w:type="dxa" w:w="80"/>
              <w:right w:type="dxa" w:w="100"/>
            </w:tcMar>
          </w:tcPr>
          <w:p>
            <w:r>
              <w:rPr>
                <w:b w:val="false"/>
                <w:bCs w:val="false"/>
                <w:sz w:val="20"/>
                <w:szCs w:val="20"/>
              </w:rPr>
              <w:t xml:space="preserve">Mesure de dispersion quadratique autour de la moyenne.</w:t>
            </w:r>
          </w:p>
        </w:tc>
      </w:tr>
      <w:tr>
        <w:tc>
          <w:tcPr>
            <w:tcW w:type="dxa" w:w="3000"/>
            <w:tcMar>
              <w:top w:type="dxa" w:w="80"/>
              <w:left w:type="dxa" w:w="100"/>
              <w:bottom w:type="dxa" w:w="80"/>
              <w:right w:type="dxa" w:w="100"/>
            </w:tcMar>
          </w:tcPr>
          <w:p>
            <w:r>
              <w:rPr>
                <w:b w:val="false"/>
                <w:bCs w:val="false"/>
                <w:sz w:val="20"/>
                <w:szCs w:val="20"/>
              </w:rPr>
              <w:t xml:space="preserve">Écart-type</w:t>
            </w:r>
          </w:p>
        </w:tc>
        <w:tc>
          <w:tcPr>
            <w:tcW w:type="dxa" w:w="6000"/>
            <w:tcMar>
              <w:top w:type="dxa" w:w="80"/>
              <w:left w:type="dxa" w:w="100"/>
              <w:bottom w:type="dxa" w:w="80"/>
              <w:right w:type="dxa" w:w="100"/>
            </w:tcMar>
          </w:tcPr>
          <w:p>
            <w:r>
              <w:rPr>
                <w:b w:val="false"/>
                <w:bCs w:val="false"/>
                <w:sz w:val="20"/>
                <w:szCs w:val="20"/>
              </w:rPr>
              <w:t xml:space="preserve">Racine carrée de la variance.</w:t>
            </w:r>
          </w:p>
        </w:tc>
      </w:tr>
      <w:tr>
        <w:tc>
          <w:tcPr>
            <w:tcW w:type="dxa" w:w="3000"/>
            <w:tcMar>
              <w:top w:type="dxa" w:w="80"/>
              <w:left w:type="dxa" w:w="100"/>
              <w:bottom w:type="dxa" w:w="80"/>
              <w:right w:type="dxa" w:w="100"/>
            </w:tcMar>
          </w:tcPr>
          <w:p>
            <w:r>
              <w:rPr>
                <w:b w:val="false"/>
                <w:bCs w:val="false"/>
                <w:sz w:val="20"/>
                <w:szCs w:val="20"/>
              </w:rPr>
              <w:t xml:space="preserve">Quartile</w:t>
            </w:r>
          </w:p>
        </w:tc>
        <w:tc>
          <w:tcPr>
            <w:tcW w:type="dxa" w:w="6000"/>
            <w:tcMar>
              <w:top w:type="dxa" w:w="80"/>
              <w:left w:type="dxa" w:w="100"/>
              <w:bottom w:type="dxa" w:w="80"/>
              <w:right w:type="dxa" w:w="100"/>
            </w:tcMar>
          </w:tcPr>
          <w:p>
            <w:r>
              <w:rPr>
                <w:b w:val="false"/>
                <w:bCs w:val="false"/>
                <w:sz w:val="20"/>
                <w:szCs w:val="20"/>
              </w:rPr>
              <w:t xml:space="preserve">Valeur délimitant un quart de la distribution.</w:t>
            </w:r>
          </w:p>
        </w:tc>
      </w:tr>
    </w:tbl>
    <w:p>
      <w:pPr>
        <w:pStyle w:val="Heading2"/>
        <w:spacing w:after="150" w:before="300"/>
      </w:pPr>
      <w:r>
        <w:t xml:space="preserve">8.4 Analyse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AF1F8" w:val="clear"/>
            <w:tcMar>
              <w:top w:type="dxa" w:w="80"/>
              <w:left w:type="dxa" w:w="100"/>
              <w:bottom w:type="dxa" w:w="80"/>
              <w:right w:type="dxa" w:w="100"/>
            </w:tcMar>
          </w:tcPr>
          <w:p>
            <w:r>
              <w:rPr>
                <w:b/>
                <w:bCs/>
                <w:sz w:val="20"/>
                <w:szCs w:val="20"/>
              </w:rPr>
              <w:t xml:space="preserve">Terme</w:t>
            </w:r>
          </w:p>
        </w:tc>
        <w:tc>
          <w:tcPr>
            <w:tcW w:type="dxa" w:w="6000"/>
            <w:shd w:fill="EAF1F8" w:val="clear"/>
            <w:tcMar>
              <w:top w:type="dxa" w:w="80"/>
              <w:left w:type="dxa" w:w="100"/>
              <w:bottom w:type="dxa" w:w="80"/>
              <w:right w:type="dxa" w:w="100"/>
            </w:tcMar>
          </w:tcPr>
          <w:p>
            <w:r>
              <w:rPr>
                <w:b/>
                <w:bCs/>
                <w:sz w:val="20"/>
                <w:szCs w:val="20"/>
              </w:rPr>
              <w:t xml:space="preserve">Définition fonctionnelle</w:t>
            </w:r>
          </w:p>
        </w:tc>
      </w:tr>
      <w:tr>
        <w:tc>
          <w:tcPr>
            <w:tcW w:type="dxa" w:w="3000"/>
            <w:tcMar>
              <w:top w:type="dxa" w:w="80"/>
              <w:left w:type="dxa" w:w="100"/>
              <w:bottom w:type="dxa" w:w="80"/>
              <w:right w:type="dxa" w:w="100"/>
            </w:tcMar>
          </w:tcPr>
          <w:p>
            <w:r>
              <w:rPr>
                <w:b w:val="false"/>
                <w:bCs w:val="false"/>
                <w:sz w:val="20"/>
                <w:szCs w:val="20"/>
              </w:rPr>
              <w:t xml:space="preserve">Croisement / tableau croisé (cross-tabulation)</w:t>
            </w:r>
          </w:p>
        </w:tc>
        <w:tc>
          <w:tcPr>
            <w:tcW w:type="dxa" w:w="6000"/>
            <w:tcMar>
              <w:top w:type="dxa" w:w="80"/>
              <w:left w:type="dxa" w:w="100"/>
              <w:bottom w:type="dxa" w:w="80"/>
              <w:right w:type="dxa" w:w="100"/>
            </w:tcMar>
          </w:tcPr>
          <w:p>
            <w:r>
              <w:rPr>
                <w:b w:val="false"/>
                <w:bCs w:val="false"/>
                <w:sz w:val="20"/>
                <w:szCs w:val="20"/>
              </w:rPr>
              <w:t xml:space="preserve">Présentation conjointe de deux ou plusieurs variables catégorielles.</w:t>
            </w:r>
          </w:p>
        </w:tc>
      </w:tr>
      <w:tr>
        <w:tc>
          <w:tcPr>
            <w:tcW w:type="dxa" w:w="3000"/>
            <w:tcMar>
              <w:top w:type="dxa" w:w="80"/>
              <w:left w:type="dxa" w:w="100"/>
              <w:bottom w:type="dxa" w:w="80"/>
              <w:right w:type="dxa" w:w="100"/>
            </w:tcMar>
          </w:tcPr>
          <w:p>
            <w:r>
              <w:rPr>
                <w:b w:val="false"/>
                <w:bCs w:val="false"/>
                <w:sz w:val="20"/>
                <w:szCs w:val="20"/>
              </w:rPr>
              <w:t xml:space="preserve">Agrégation</w:t>
            </w:r>
          </w:p>
        </w:tc>
        <w:tc>
          <w:tcPr>
            <w:tcW w:type="dxa" w:w="6000"/>
            <w:tcMar>
              <w:top w:type="dxa" w:w="80"/>
              <w:left w:type="dxa" w:w="100"/>
              <w:bottom w:type="dxa" w:w="80"/>
              <w:right w:type="dxa" w:w="100"/>
            </w:tcMar>
          </w:tcPr>
          <w:p>
            <w:r>
              <w:rPr>
                <w:b w:val="false"/>
                <w:bCs w:val="false"/>
                <w:sz w:val="20"/>
                <w:szCs w:val="20"/>
              </w:rPr>
              <w:t xml:space="preserve">Calcul d'un résumé statistique par groupe.</w:t>
            </w:r>
          </w:p>
        </w:tc>
      </w:tr>
      <w:tr>
        <w:tc>
          <w:tcPr>
            <w:tcW w:type="dxa" w:w="3000"/>
            <w:tcMar>
              <w:top w:type="dxa" w:w="80"/>
              <w:left w:type="dxa" w:w="100"/>
              <w:bottom w:type="dxa" w:w="80"/>
              <w:right w:type="dxa" w:w="100"/>
            </w:tcMar>
          </w:tcPr>
          <w:p>
            <w:r>
              <w:rPr>
                <w:b w:val="false"/>
                <w:bCs w:val="false"/>
                <w:sz w:val="20"/>
                <w:szCs w:val="20"/>
              </w:rPr>
              <w:t xml:space="preserve">Distribution</w:t>
            </w:r>
          </w:p>
        </w:tc>
        <w:tc>
          <w:tcPr>
            <w:tcW w:type="dxa" w:w="6000"/>
            <w:tcMar>
              <w:top w:type="dxa" w:w="80"/>
              <w:left w:type="dxa" w:w="100"/>
              <w:bottom w:type="dxa" w:w="80"/>
              <w:right w:type="dxa" w:w="100"/>
            </w:tcMar>
          </w:tcPr>
          <w:p>
            <w:r>
              <w:rPr>
                <w:b w:val="false"/>
                <w:bCs w:val="false"/>
                <w:sz w:val="20"/>
                <w:szCs w:val="20"/>
              </w:rPr>
              <w:t xml:space="preserve">Répartition des observations entre valeurs ou catégories.</w:t>
            </w:r>
          </w:p>
        </w:tc>
      </w:tr>
    </w:tbl>
    <w:p>
      <w:pPr>
        <w:pStyle w:val="Heading1"/>
        <w:spacing w:after="200" w:before="400"/>
      </w:pPr>
      <w:r>
        <w:t xml:space="preserve">9. Visualisation et restitution</w:t>
      </w:r>
    </w:p>
    <w:p>
      <w:pPr>
        <w:spacing w:after="160"/>
        <w:jc w:val="left"/>
      </w:pPr>
      <w:r>
        <w:rPr>
          <w:b w:val="false"/>
          <w:bCs w:val="false"/>
          <w:i w:val="false"/>
          <w:iCs w:val="false"/>
        </w:rPr>
        <w:t xml:space="preserve">La visualisation doit être traitée comme une couche indépendante. Un ResultSet peut être présenté sous plusieurs formes sans recalculer le scrutin. Cette approche rejoint les architectures déclaratives de visualisation : Vega-Lite décrit des graphiques interactifs via une spécification JSON et prend en charge l'agrégation, les transformations et les interactions ; Observable Plot et Apache ECharts sont des alternatives à évaluer selon le besoin (exploration rapide vs tableau de bord temps réel).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AF1F8" w:val="clear"/>
            <w:tcMar>
              <w:top w:type="dxa" w:w="80"/>
              <w:left w:type="dxa" w:w="100"/>
              <w:bottom w:type="dxa" w:w="80"/>
              <w:right w:type="dxa" w:w="100"/>
            </w:tcMar>
          </w:tcPr>
          <w:p>
            <w:r>
              <w:rPr>
                <w:b/>
                <w:bCs/>
                <w:sz w:val="20"/>
                <w:szCs w:val="20"/>
              </w:rPr>
              <w:t xml:space="preserve">Visualisation</w:t>
            </w:r>
          </w:p>
        </w:tc>
        <w:tc>
          <w:tcPr>
            <w:tcW w:type="dxa" w:w="6000"/>
            <w:shd w:fill="EAF1F8" w:val="clear"/>
            <w:tcMar>
              <w:top w:type="dxa" w:w="80"/>
              <w:left w:type="dxa" w:w="100"/>
              <w:bottom w:type="dxa" w:w="80"/>
              <w:right w:type="dxa" w:w="100"/>
            </w:tcMar>
          </w:tcPr>
          <w:p>
            <w:r>
              <w:rPr>
                <w:b/>
                <w:bCs/>
                <w:sz w:val="20"/>
                <w:szCs w:val="20"/>
              </w:rPr>
              <w:t xml:space="preserve">Usage privilégié</w:t>
            </w:r>
          </w:p>
        </w:tc>
      </w:tr>
      <w:tr>
        <w:tc>
          <w:tcPr>
            <w:tcW w:type="dxa" w:w="3000"/>
            <w:tcMar>
              <w:top w:type="dxa" w:w="80"/>
              <w:left w:type="dxa" w:w="100"/>
              <w:bottom w:type="dxa" w:w="80"/>
              <w:right w:type="dxa" w:w="100"/>
            </w:tcMar>
          </w:tcPr>
          <w:p>
            <w:r>
              <w:rPr>
                <w:b w:val="false"/>
                <w:bCs w:val="false"/>
                <w:sz w:val="20"/>
                <w:szCs w:val="20"/>
              </w:rPr>
              <w:t xml:space="preserve">Barres horizontales</w:t>
            </w:r>
          </w:p>
        </w:tc>
        <w:tc>
          <w:tcPr>
            <w:tcW w:type="dxa" w:w="6000"/>
            <w:tcMar>
              <w:top w:type="dxa" w:w="80"/>
              <w:left w:type="dxa" w:w="100"/>
              <w:bottom w:type="dxa" w:w="80"/>
              <w:right w:type="dxa" w:w="100"/>
            </w:tcMar>
          </w:tcPr>
          <w:p>
            <w:r>
              <w:rPr>
                <w:b w:val="false"/>
                <w:bCs w:val="false"/>
                <w:sz w:val="20"/>
                <w:szCs w:val="20"/>
              </w:rPr>
              <w:t xml:space="preserve">Comparer des options</w:t>
            </w:r>
          </w:p>
        </w:tc>
      </w:tr>
      <w:tr>
        <w:tc>
          <w:tcPr>
            <w:tcW w:type="dxa" w:w="3000"/>
            <w:tcMar>
              <w:top w:type="dxa" w:w="80"/>
              <w:left w:type="dxa" w:w="100"/>
              <w:bottom w:type="dxa" w:w="80"/>
              <w:right w:type="dxa" w:w="100"/>
            </w:tcMar>
          </w:tcPr>
          <w:p>
            <w:r>
              <w:rPr>
                <w:b w:val="false"/>
                <w:bCs w:val="false"/>
                <w:sz w:val="20"/>
                <w:szCs w:val="20"/>
              </w:rPr>
              <w:t xml:space="preserve">Barres empilées</w:t>
            </w:r>
          </w:p>
        </w:tc>
        <w:tc>
          <w:tcPr>
            <w:tcW w:type="dxa" w:w="6000"/>
            <w:tcMar>
              <w:top w:type="dxa" w:w="80"/>
              <w:left w:type="dxa" w:w="100"/>
              <w:bottom w:type="dxa" w:w="80"/>
              <w:right w:type="dxa" w:w="100"/>
            </w:tcMar>
          </w:tcPr>
          <w:p>
            <w:r>
              <w:rPr>
                <w:b w:val="false"/>
                <w:bCs w:val="false"/>
                <w:sz w:val="20"/>
                <w:szCs w:val="20"/>
              </w:rPr>
              <w:t xml:space="preserve">Comparer des distributions</w:t>
            </w:r>
          </w:p>
        </w:tc>
      </w:tr>
      <w:tr>
        <w:tc>
          <w:tcPr>
            <w:tcW w:type="dxa" w:w="3000"/>
            <w:tcMar>
              <w:top w:type="dxa" w:w="80"/>
              <w:left w:type="dxa" w:w="100"/>
              <w:bottom w:type="dxa" w:w="80"/>
              <w:right w:type="dxa" w:w="100"/>
            </w:tcMar>
          </w:tcPr>
          <w:p>
            <w:r>
              <w:rPr>
                <w:b w:val="false"/>
                <w:bCs w:val="false"/>
                <w:sz w:val="20"/>
                <w:szCs w:val="20"/>
              </w:rPr>
              <w:t xml:space="preserve">Donut / secteurs</w:t>
            </w:r>
          </w:p>
        </w:tc>
        <w:tc>
          <w:tcPr>
            <w:tcW w:type="dxa" w:w="6000"/>
            <w:tcMar>
              <w:top w:type="dxa" w:w="80"/>
              <w:left w:type="dxa" w:w="100"/>
              <w:bottom w:type="dxa" w:w="80"/>
              <w:right w:type="dxa" w:w="100"/>
            </w:tcMar>
          </w:tcPr>
          <w:p>
            <w:r>
              <w:rPr>
                <w:b w:val="false"/>
                <w:bCs w:val="false"/>
                <w:sz w:val="20"/>
                <w:szCs w:val="20"/>
              </w:rPr>
              <w:t xml:space="preserve">Composition simple, à utiliser avec prudence</w:t>
            </w:r>
          </w:p>
        </w:tc>
      </w:tr>
      <w:tr>
        <w:tc>
          <w:tcPr>
            <w:tcW w:type="dxa" w:w="3000"/>
            <w:tcMar>
              <w:top w:type="dxa" w:w="80"/>
              <w:left w:type="dxa" w:w="100"/>
              <w:bottom w:type="dxa" w:w="80"/>
              <w:right w:type="dxa" w:w="100"/>
            </w:tcMar>
          </w:tcPr>
          <w:p>
            <w:r>
              <w:rPr>
                <w:b w:val="false"/>
                <w:bCs w:val="false"/>
                <w:sz w:val="20"/>
                <w:szCs w:val="20"/>
              </w:rPr>
              <w:t xml:space="preserve">Histogramme</w:t>
            </w:r>
          </w:p>
        </w:tc>
        <w:tc>
          <w:tcPr>
            <w:tcW w:type="dxa" w:w="6000"/>
            <w:tcMar>
              <w:top w:type="dxa" w:w="80"/>
              <w:left w:type="dxa" w:w="100"/>
              <w:bottom w:type="dxa" w:w="80"/>
              <w:right w:type="dxa" w:w="100"/>
            </w:tcMar>
          </w:tcPr>
          <w:p>
            <w:r>
              <w:rPr>
                <w:b w:val="false"/>
                <w:bCs w:val="false"/>
                <w:sz w:val="20"/>
                <w:szCs w:val="20"/>
              </w:rPr>
              <w:t xml:space="preserve">Distribution numérique</w:t>
            </w:r>
          </w:p>
        </w:tc>
      </w:tr>
      <w:tr>
        <w:tc>
          <w:tcPr>
            <w:tcW w:type="dxa" w:w="3000"/>
            <w:tcMar>
              <w:top w:type="dxa" w:w="80"/>
              <w:left w:type="dxa" w:w="100"/>
              <w:bottom w:type="dxa" w:w="80"/>
              <w:right w:type="dxa" w:w="100"/>
            </w:tcMar>
          </w:tcPr>
          <w:p>
            <w:r>
              <w:rPr>
                <w:b w:val="false"/>
                <w:bCs w:val="false"/>
                <w:sz w:val="20"/>
                <w:szCs w:val="20"/>
              </w:rPr>
              <w:t xml:space="preserve">Ligne</w:t>
            </w:r>
          </w:p>
        </w:tc>
        <w:tc>
          <w:tcPr>
            <w:tcW w:type="dxa" w:w="6000"/>
            <w:tcMar>
              <w:top w:type="dxa" w:w="80"/>
              <w:left w:type="dxa" w:w="100"/>
              <w:bottom w:type="dxa" w:w="80"/>
              <w:right w:type="dxa" w:w="100"/>
            </w:tcMar>
          </w:tcPr>
          <w:p>
            <w:r>
              <w:rPr>
                <w:b w:val="false"/>
                <w:bCs w:val="false"/>
                <w:sz w:val="20"/>
                <w:szCs w:val="20"/>
              </w:rPr>
              <w:t xml:space="preserve">Évolution temporelle</w:t>
            </w:r>
          </w:p>
        </w:tc>
      </w:tr>
      <w:tr>
        <w:tc>
          <w:tcPr>
            <w:tcW w:type="dxa" w:w="3000"/>
            <w:tcMar>
              <w:top w:type="dxa" w:w="80"/>
              <w:left w:type="dxa" w:w="100"/>
              <w:bottom w:type="dxa" w:w="80"/>
              <w:right w:type="dxa" w:w="100"/>
            </w:tcMar>
          </w:tcPr>
          <w:p>
            <w:r>
              <w:rPr>
                <w:b w:val="false"/>
                <w:bCs w:val="false"/>
                <w:sz w:val="20"/>
                <w:szCs w:val="20"/>
              </w:rPr>
              <w:t xml:space="preserve">Classement</w:t>
            </w:r>
          </w:p>
        </w:tc>
        <w:tc>
          <w:tcPr>
            <w:tcW w:type="dxa" w:w="6000"/>
            <w:tcMar>
              <w:top w:type="dxa" w:w="80"/>
              <w:left w:type="dxa" w:w="100"/>
              <w:bottom w:type="dxa" w:w="80"/>
              <w:right w:type="dxa" w:w="100"/>
            </w:tcMar>
          </w:tcPr>
          <w:p>
            <w:r>
              <w:rPr>
                <w:b w:val="false"/>
                <w:bCs w:val="false"/>
                <w:sz w:val="20"/>
                <w:szCs w:val="20"/>
              </w:rPr>
              <w:t xml:space="preserve">Ordre des candidats/options</w:t>
            </w:r>
          </w:p>
        </w:tc>
      </w:tr>
      <w:tr>
        <w:tc>
          <w:tcPr>
            <w:tcW w:type="dxa" w:w="3000"/>
            <w:tcMar>
              <w:top w:type="dxa" w:w="80"/>
              <w:left w:type="dxa" w:w="100"/>
              <w:bottom w:type="dxa" w:w="80"/>
              <w:right w:type="dxa" w:w="100"/>
            </w:tcMar>
          </w:tcPr>
          <w:p>
            <w:r>
              <w:rPr>
                <w:b w:val="false"/>
                <w:bCs w:val="false"/>
                <w:sz w:val="20"/>
                <w:szCs w:val="20"/>
              </w:rPr>
              <w:t xml:space="preserve">Heatmap</w:t>
            </w:r>
          </w:p>
        </w:tc>
        <w:tc>
          <w:tcPr>
            <w:tcW w:type="dxa" w:w="6000"/>
            <w:tcMar>
              <w:top w:type="dxa" w:w="80"/>
              <w:left w:type="dxa" w:w="100"/>
              <w:bottom w:type="dxa" w:w="80"/>
              <w:right w:type="dxa" w:w="100"/>
            </w:tcMar>
          </w:tcPr>
          <w:p>
            <w:r>
              <w:rPr>
                <w:b w:val="false"/>
                <w:bCs w:val="false"/>
                <w:sz w:val="20"/>
                <w:szCs w:val="20"/>
              </w:rPr>
              <w:t xml:space="preserve">Croisement de deux dimensions</w:t>
            </w:r>
          </w:p>
        </w:tc>
      </w:tr>
      <w:tr>
        <w:tc>
          <w:tcPr>
            <w:tcW w:type="dxa" w:w="3000"/>
            <w:tcMar>
              <w:top w:type="dxa" w:w="80"/>
              <w:left w:type="dxa" w:w="100"/>
              <w:bottom w:type="dxa" w:w="80"/>
              <w:right w:type="dxa" w:w="100"/>
            </w:tcMar>
          </w:tcPr>
          <w:p>
            <w:r>
              <w:rPr>
                <w:b w:val="false"/>
                <w:bCs w:val="false"/>
                <w:sz w:val="20"/>
                <w:szCs w:val="20"/>
              </w:rPr>
              <w:t xml:space="preserve">Tableau</w:t>
            </w:r>
          </w:p>
        </w:tc>
        <w:tc>
          <w:tcPr>
            <w:tcW w:type="dxa" w:w="6000"/>
            <w:tcMar>
              <w:top w:type="dxa" w:w="80"/>
              <w:left w:type="dxa" w:w="100"/>
              <w:bottom w:type="dxa" w:w="80"/>
              <w:right w:type="dxa" w:w="100"/>
            </w:tcMar>
          </w:tcPr>
          <w:p>
            <w:r>
              <w:rPr>
                <w:b w:val="false"/>
                <w:bCs w:val="false"/>
                <w:sz w:val="20"/>
                <w:szCs w:val="20"/>
              </w:rPr>
              <w:t xml:space="preserve">Transparence et données détaillées</w:t>
            </w:r>
          </w:p>
        </w:tc>
      </w:tr>
      <w:tr>
        <w:tc>
          <w:tcPr>
            <w:tcW w:type="dxa" w:w="3000"/>
            <w:tcMar>
              <w:top w:type="dxa" w:w="80"/>
              <w:left w:type="dxa" w:w="100"/>
              <w:bottom w:type="dxa" w:w="80"/>
              <w:right w:type="dxa" w:w="100"/>
            </w:tcMar>
          </w:tcPr>
          <w:p>
            <w:r>
              <w:rPr>
                <w:b w:val="false"/>
                <w:bCs w:val="false"/>
                <w:sz w:val="20"/>
                <w:szCs w:val="20"/>
              </w:rPr>
              <w:t xml:space="preserve">Jauge / indicateur</w:t>
            </w:r>
          </w:p>
        </w:tc>
        <w:tc>
          <w:tcPr>
            <w:tcW w:type="dxa" w:w="6000"/>
            <w:tcMar>
              <w:top w:type="dxa" w:w="80"/>
              <w:left w:type="dxa" w:w="100"/>
              <w:bottom w:type="dxa" w:w="80"/>
              <w:right w:type="dxa" w:w="100"/>
            </w:tcMar>
          </w:tcPr>
          <w:p>
            <w:r>
              <w:rPr>
                <w:b w:val="false"/>
                <w:bCs w:val="false"/>
                <w:sz w:val="20"/>
                <w:szCs w:val="20"/>
              </w:rPr>
              <w:t xml:space="preserve">Participation, quorum, seuil</w:t>
            </w:r>
          </w:p>
        </w:tc>
      </w:tr>
    </w:tbl>
    <w:p>
      <w:pPr>
        <w:spacing w:after="160"/>
        <w:jc w:val="left"/>
      </w:pPr>
      <w:r>
        <w:rPr>
          <w:b/>
          <w:bCs/>
          <w:i w:val="false"/>
          <w:iCs w:val="false"/>
        </w:rPr>
        <w:t xml:space="preserve">Principe UX : le graphique ne doit jamais être la seule représentation d'un résultat important. Une vue tabulaire et/ou les valeurs exactes doivent rester accessibles à tout moment.</w:t>
      </w:r>
    </w:p>
    <w:p>
      <w:pPr>
        <w:pStyle w:val="Heading1"/>
        <w:spacing w:after="200" w:before="400"/>
      </w:pPr>
      <w:r>
        <w:t xml:space="preserve">10. UX/UI et liste des écrans</w:t>
      </w:r>
    </w:p>
    <w:p>
      <w:pPr>
        <w:spacing w:after="160"/>
        <w:jc w:val="left"/>
      </w:pPr>
      <w:r>
        <w:rPr>
          <w:b w:val="false"/>
          <w:bCs w:val="false"/>
          <w:i w:val="false"/>
          <w:iCs w:val="false"/>
        </w:rPr>
        <w:t xml:space="preserve">La direction visuelle retenue à ce stade est sobre, claire, lumineuse, orientée produit SaaS mais adaptée à un logiciel libre : navigation latérale, espaces blancs, composants lisibles, couleurs d'état limitées et hiérarchie forte. Les six planches ci-dessous, fournies comme illustration de cadrage, confirment cette direction et couvrent déjà la majorité des écrans listés en 10.1 : tableau de bord administrateur, éditeur de formulaire, configuration d'un scrutin, vote citoyen (desktop + mobile), résultats en direct, analyse statistique et datavisualisation.</w:t>
      </w:r>
    </w:p>
    <w:p>
      <w:pPr>
        <w:spacing w:after="100" w:before="100"/>
        <w:jc w:val="center"/>
      </w:pPr>
      <w:r>
        <w:drawing>
          <wp:inline distT="0" distB="0" distL="0" distR="0">
            <wp:extent cx="5715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14775"/>
                    </a:xfrm>
                    <a:prstGeom prst="rect">
                      <a:avLst/>
                    </a:prstGeom>
                  </pic:spPr>
                </pic:pic>
              </a:graphicData>
            </a:graphic>
          </wp:inline>
        </w:drawing>
      </w:r>
    </w:p>
    <w:p>
      <w:pPr>
        <w:spacing w:after="160"/>
        <w:jc w:val="center"/>
      </w:pPr>
      <w:r>
        <w:rPr>
          <w:b w:val="false"/>
          <w:bCs w:val="false"/>
          <w:i/>
          <w:iCs/>
        </w:rPr>
        <w:t xml:space="preserve">Illustration de cadrage UX fournie par le porteur de projet — référence pour composants, comportements responsive et parcours. À intégrer formellement en annexe UX lors de la phase 1 (prototype).</w:t>
      </w:r>
    </w:p>
    <w:p>
      <w:pPr>
        <w:pStyle w:val="Heading2"/>
        <w:spacing w:after="150" w:before="300"/>
      </w:pPr>
      <w:r>
        <w:t xml:space="preserve">10.1 Liste des écrans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800"/>
        <w:gridCol w:w="1700"/>
      </w:tblGrid>
      <w:tr>
        <w:trPr>
          <w:tblHeader/>
        </w:trPr>
        <w:tc>
          <w:tcPr>
            <w:tcW w:type="dxa" w:w="900"/>
            <w:shd w:fill="EAF1F8" w:val="clear"/>
            <w:tcMar>
              <w:top w:type="dxa" w:w="80"/>
              <w:left w:type="dxa" w:w="100"/>
              <w:bottom w:type="dxa" w:w="80"/>
              <w:right w:type="dxa" w:w="100"/>
            </w:tcMar>
          </w:tcPr>
          <w:p>
            <w:r>
              <w:rPr>
                <w:b/>
                <w:bCs/>
                <w:sz w:val="20"/>
                <w:szCs w:val="20"/>
              </w:rPr>
              <w:t xml:space="preserve">ID</w:t>
            </w:r>
          </w:p>
        </w:tc>
        <w:tc>
          <w:tcPr>
            <w:tcW w:type="dxa" w:w="2600"/>
            <w:shd w:fill="EAF1F8" w:val="clear"/>
            <w:tcMar>
              <w:top w:type="dxa" w:w="80"/>
              <w:left w:type="dxa" w:w="100"/>
              <w:bottom w:type="dxa" w:w="80"/>
              <w:right w:type="dxa" w:w="100"/>
            </w:tcMar>
          </w:tcPr>
          <w:p>
            <w:r>
              <w:rPr>
                <w:b/>
                <w:bCs/>
                <w:sz w:val="20"/>
                <w:szCs w:val="20"/>
              </w:rPr>
              <w:t xml:space="preserve">Écran</w:t>
            </w:r>
          </w:p>
        </w:tc>
        <w:tc>
          <w:tcPr>
            <w:tcW w:type="dxa" w:w="3800"/>
            <w:shd w:fill="EAF1F8" w:val="clear"/>
            <w:tcMar>
              <w:top w:type="dxa" w:w="80"/>
              <w:left w:type="dxa" w:w="100"/>
              <w:bottom w:type="dxa" w:w="80"/>
              <w:right w:type="dxa" w:w="100"/>
            </w:tcMar>
          </w:tcPr>
          <w:p>
            <w:r>
              <w:rPr>
                <w:b/>
                <w:bCs/>
                <w:sz w:val="20"/>
                <w:szCs w:val="20"/>
              </w:rPr>
              <w:t xml:space="preserve">Objectif</w:t>
            </w:r>
          </w:p>
        </w:tc>
        <w:tc>
          <w:tcPr>
            <w:tcW w:type="dxa" w:w="1700"/>
            <w:shd w:fill="EAF1F8" w:val="clear"/>
            <w:tcMar>
              <w:top w:type="dxa" w:w="80"/>
              <w:left w:type="dxa" w:w="100"/>
              <w:bottom w:type="dxa" w:w="80"/>
              <w:right w:type="dxa" w:w="100"/>
            </w:tcMar>
          </w:tcPr>
          <w:p>
            <w:r>
              <w:rPr>
                <w:b/>
                <w:bCs/>
                <w:sz w:val="20"/>
                <w:szCs w:val="20"/>
              </w:rPr>
              <w:t xml:space="preserve">Réf. illustration</w:t>
            </w:r>
          </w:p>
        </w:tc>
      </w:tr>
      <w:tr>
        <w:tc>
          <w:tcPr>
            <w:tcW w:type="dxa" w:w="900"/>
            <w:tcMar>
              <w:top w:type="dxa" w:w="80"/>
              <w:left w:type="dxa" w:w="100"/>
              <w:bottom w:type="dxa" w:w="80"/>
              <w:right w:type="dxa" w:w="100"/>
            </w:tcMar>
          </w:tcPr>
          <w:p>
            <w:r>
              <w:rPr>
                <w:b w:val="false"/>
                <w:bCs w:val="false"/>
                <w:sz w:val="20"/>
                <w:szCs w:val="20"/>
              </w:rPr>
              <w:t xml:space="preserve">01</w:t>
            </w:r>
          </w:p>
        </w:tc>
        <w:tc>
          <w:tcPr>
            <w:tcW w:type="dxa" w:w="2600"/>
            <w:tcMar>
              <w:top w:type="dxa" w:w="80"/>
              <w:left w:type="dxa" w:w="100"/>
              <w:bottom w:type="dxa" w:w="80"/>
              <w:right w:type="dxa" w:w="100"/>
            </w:tcMar>
          </w:tcPr>
          <w:p>
            <w:r>
              <w:rPr>
                <w:b w:val="false"/>
                <w:bCs w:val="false"/>
                <w:sz w:val="20"/>
                <w:szCs w:val="20"/>
              </w:rPr>
              <w:t xml:space="preserve">Tableau de bord</w:t>
            </w:r>
          </w:p>
        </w:tc>
        <w:tc>
          <w:tcPr>
            <w:tcW w:type="dxa" w:w="3800"/>
            <w:tcMar>
              <w:top w:type="dxa" w:w="80"/>
              <w:left w:type="dxa" w:w="100"/>
              <w:bottom w:type="dxa" w:w="80"/>
              <w:right w:type="dxa" w:w="100"/>
            </w:tcMar>
          </w:tcPr>
          <w:p>
            <w:r>
              <w:rPr>
                <w:b w:val="false"/>
                <w:bCs w:val="false"/>
                <w:sz w:val="20"/>
                <w:szCs w:val="20"/>
              </w:rPr>
              <w:t xml:space="preserve">Vue synthétique des campagnes et activités</w:t>
            </w:r>
          </w:p>
        </w:tc>
        <w:tc>
          <w:tcPr>
            <w:tcW w:type="dxa" w:w="1700"/>
            <w:tcMar>
              <w:top w:type="dxa" w:w="80"/>
              <w:left w:type="dxa" w:w="100"/>
              <w:bottom w:type="dxa" w:w="80"/>
              <w:right w:type="dxa" w:w="100"/>
            </w:tcMar>
          </w:tcPr>
          <w:p>
            <w:r>
              <w:rPr>
                <w:b w:val="false"/>
                <w:bCs w:val="false"/>
                <w:sz w:val="20"/>
                <w:szCs w:val="20"/>
              </w:rPr>
              <w:t xml:space="preserve">Planche 1</w:t>
            </w:r>
          </w:p>
        </w:tc>
      </w:tr>
      <w:tr>
        <w:tc>
          <w:tcPr>
            <w:tcW w:type="dxa" w:w="900"/>
            <w:tcMar>
              <w:top w:type="dxa" w:w="80"/>
              <w:left w:type="dxa" w:w="100"/>
              <w:bottom w:type="dxa" w:w="80"/>
              <w:right w:type="dxa" w:w="100"/>
            </w:tcMar>
          </w:tcPr>
          <w:p>
            <w:r>
              <w:rPr>
                <w:b w:val="false"/>
                <w:bCs w:val="false"/>
                <w:sz w:val="20"/>
                <w:szCs w:val="20"/>
              </w:rPr>
              <w:t xml:space="preserve">02</w:t>
            </w:r>
          </w:p>
        </w:tc>
        <w:tc>
          <w:tcPr>
            <w:tcW w:type="dxa" w:w="2600"/>
            <w:tcMar>
              <w:top w:type="dxa" w:w="80"/>
              <w:left w:type="dxa" w:w="100"/>
              <w:bottom w:type="dxa" w:w="80"/>
              <w:right w:type="dxa" w:w="100"/>
            </w:tcMar>
          </w:tcPr>
          <w:p>
            <w:r>
              <w:rPr>
                <w:b w:val="false"/>
                <w:bCs w:val="false"/>
                <w:sz w:val="20"/>
                <w:szCs w:val="20"/>
              </w:rPr>
              <w:t xml:space="preserve">Campagnes</w:t>
            </w:r>
          </w:p>
        </w:tc>
        <w:tc>
          <w:tcPr>
            <w:tcW w:type="dxa" w:w="3800"/>
            <w:tcMar>
              <w:top w:type="dxa" w:w="80"/>
              <w:left w:type="dxa" w:w="100"/>
              <w:bottom w:type="dxa" w:w="80"/>
              <w:right w:type="dxa" w:w="100"/>
            </w:tcMar>
          </w:tcPr>
          <w:p>
            <w:r>
              <w:rPr>
                <w:b w:val="false"/>
                <w:bCs w:val="false"/>
                <w:sz w:val="20"/>
                <w:szCs w:val="20"/>
              </w:rPr>
              <w:t xml:space="preserve">Lister, rechercher et filtrer les campagnes</w:t>
            </w:r>
          </w:p>
        </w:tc>
        <w:tc>
          <w:tcPr>
            <w:tcW w:type="dxa" w:w="1700"/>
            <w:tcMar>
              <w:top w:type="dxa" w:w="80"/>
              <w:left w:type="dxa" w:w="100"/>
              <w:bottom w:type="dxa" w:w="80"/>
              <w:right w:type="dxa" w:w="100"/>
            </w:tcMar>
          </w:tcPr>
          <w:p>
            <w:r>
              <w:rPr>
                <w:b w:val="false"/>
                <w:bCs w:val="false"/>
                <w:sz w:val="20"/>
                <w:szCs w:val="20"/>
              </w:rPr>
              <w:t xml:space="preserve">Planche 1 (menu)</w:t>
            </w:r>
          </w:p>
        </w:tc>
      </w:tr>
      <w:tr>
        <w:tc>
          <w:tcPr>
            <w:tcW w:type="dxa" w:w="900"/>
            <w:tcMar>
              <w:top w:type="dxa" w:w="80"/>
              <w:left w:type="dxa" w:w="100"/>
              <w:bottom w:type="dxa" w:w="80"/>
              <w:right w:type="dxa" w:w="100"/>
            </w:tcMar>
          </w:tcPr>
          <w:p>
            <w:r>
              <w:rPr>
                <w:b w:val="false"/>
                <w:bCs w:val="false"/>
                <w:sz w:val="20"/>
                <w:szCs w:val="20"/>
              </w:rPr>
              <w:t xml:space="preserve">03</w:t>
            </w:r>
          </w:p>
        </w:tc>
        <w:tc>
          <w:tcPr>
            <w:tcW w:type="dxa" w:w="2600"/>
            <w:tcMar>
              <w:top w:type="dxa" w:w="80"/>
              <w:left w:type="dxa" w:w="100"/>
              <w:bottom w:type="dxa" w:w="80"/>
              <w:right w:type="dxa" w:w="100"/>
            </w:tcMar>
          </w:tcPr>
          <w:p>
            <w:r>
              <w:rPr>
                <w:b w:val="false"/>
                <w:bCs w:val="false"/>
                <w:sz w:val="20"/>
                <w:szCs w:val="20"/>
              </w:rPr>
              <w:t xml:space="preserve">Éditeur de formulaire</w:t>
            </w:r>
          </w:p>
        </w:tc>
        <w:tc>
          <w:tcPr>
            <w:tcW w:type="dxa" w:w="3800"/>
            <w:tcMar>
              <w:top w:type="dxa" w:w="80"/>
              <w:left w:type="dxa" w:w="100"/>
              <w:bottom w:type="dxa" w:w="80"/>
              <w:right w:type="dxa" w:w="100"/>
            </w:tcMar>
          </w:tcPr>
          <w:p>
            <w:r>
              <w:rPr>
                <w:b w:val="false"/>
                <w:bCs w:val="false"/>
                <w:sz w:val="20"/>
                <w:szCs w:val="20"/>
              </w:rPr>
              <w:t xml:space="preserve">Construire le questionnaire</w:t>
            </w:r>
          </w:p>
        </w:tc>
        <w:tc>
          <w:tcPr>
            <w:tcW w:type="dxa" w:w="1700"/>
            <w:tcMar>
              <w:top w:type="dxa" w:w="80"/>
              <w:left w:type="dxa" w:w="100"/>
              <w:bottom w:type="dxa" w:w="80"/>
              <w:right w:type="dxa" w:w="100"/>
            </w:tcMar>
          </w:tcPr>
          <w:p>
            <w:r>
              <w:rPr>
                <w:b w:val="false"/>
                <w:bCs w:val="false"/>
                <w:sz w:val="20"/>
                <w:szCs w:val="20"/>
              </w:rPr>
              <w:t xml:space="preserve">Planche 2</w:t>
            </w:r>
          </w:p>
        </w:tc>
      </w:tr>
      <w:tr>
        <w:tc>
          <w:tcPr>
            <w:tcW w:type="dxa" w:w="900"/>
            <w:tcMar>
              <w:top w:type="dxa" w:w="80"/>
              <w:left w:type="dxa" w:w="100"/>
              <w:bottom w:type="dxa" w:w="80"/>
              <w:right w:type="dxa" w:w="100"/>
            </w:tcMar>
          </w:tcPr>
          <w:p>
            <w:r>
              <w:rPr>
                <w:b w:val="false"/>
                <w:bCs w:val="false"/>
                <w:sz w:val="20"/>
                <w:szCs w:val="20"/>
              </w:rPr>
              <w:t xml:space="preserve">04</w:t>
            </w:r>
          </w:p>
        </w:tc>
        <w:tc>
          <w:tcPr>
            <w:tcW w:type="dxa" w:w="2600"/>
            <w:tcMar>
              <w:top w:type="dxa" w:w="80"/>
              <w:left w:type="dxa" w:w="100"/>
              <w:bottom w:type="dxa" w:w="80"/>
              <w:right w:type="dxa" w:w="100"/>
            </w:tcMar>
          </w:tcPr>
          <w:p>
            <w:r>
              <w:rPr>
                <w:b w:val="false"/>
                <w:bCs w:val="false"/>
                <w:sz w:val="20"/>
                <w:szCs w:val="20"/>
              </w:rPr>
              <w:t xml:space="preserve">Éditeur de question</w:t>
            </w:r>
          </w:p>
        </w:tc>
        <w:tc>
          <w:tcPr>
            <w:tcW w:type="dxa" w:w="3800"/>
            <w:tcMar>
              <w:top w:type="dxa" w:w="80"/>
              <w:left w:type="dxa" w:w="100"/>
              <w:bottom w:type="dxa" w:w="80"/>
              <w:right w:type="dxa" w:w="100"/>
            </w:tcMar>
          </w:tcPr>
          <w:p>
            <w:r>
              <w:rPr>
                <w:b w:val="false"/>
                <w:bCs w:val="false"/>
                <w:sz w:val="20"/>
                <w:szCs w:val="20"/>
              </w:rPr>
              <w:t xml:space="preserve">Configurer une question</w:t>
            </w:r>
          </w:p>
        </w:tc>
        <w:tc>
          <w:tcPr>
            <w:tcW w:type="dxa" w:w="1700"/>
            <w:tcMar>
              <w:top w:type="dxa" w:w="80"/>
              <w:left w:type="dxa" w:w="100"/>
              <w:bottom w:type="dxa" w:w="80"/>
              <w:right w:type="dxa" w:w="100"/>
            </w:tcMar>
          </w:tcPr>
          <w:p>
            <w:r>
              <w:rPr>
                <w:b w:val="false"/>
                <w:bCs w:val="false"/>
                <w:sz w:val="20"/>
                <w:szCs w:val="20"/>
              </w:rPr>
              <w:t xml:space="preserve">Planche 2</w:t>
            </w:r>
          </w:p>
        </w:tc>
      </w:tr>
      <w:tr>
        <w:tc>
          <w:tcPr>
            <w:tcW w:type="dxa" w:w="900"/>
            <w:tcMar>
              <w:top w:type="dxa" w:w="80"/>
              <w:left w:type="dxa" w:w="100"/>
              <w:bottom w:type="dxa" w:w="80"/>
              <w:right w:type="dxa" w:w="100"/>
            </w:tcMar>
          </w:tcPr>
          <w:p>
            <w:r>
              <w:rPr>
                <w:b w:val="false"/>
                <w:bCs w:val="false"/>
                <w:sz w:val="20"/>
                <w:szCs w:val="20"/>
              </w:rPr>
              <w:t xml:space="preserve">05</w:t>
            </w:r>
          </w:p>
        </w:tc>
        <w:tc>
          <w:tcPr>
            <w:tcW w:type="dxa" w:w="2600"/>
            <w:tcMar>
              <w:top w:type="dxa" w:w="80"/>
              <w:left w:type="dxa" w:w="100"/>
              <w:bottom w:type="dxa" w:w="80"/>
              <w:right w:type="dxa" w:w="100"/>
            </w:tcMar>
          </w:tcPr>
          <w:p>
            <w:r>
              <w:rPr>
                <w:b w:val="false"/>
                <w:bCs w:val="false"/>
                <w:sz w:val="20"/>
                <w:szCs w:val="20"/>
              </w:rPr>
              <w:t xml:space="preserve">Logique conditionnelle</w:t>
            </w:r>
          </w:p>
        </w:tc>
        <w:tc>
          <w:tcPr>
            <w:tcW w:type="dxa" w:w="3800"/>
            <w:tcMar>
              <w:top w:type="dxa" w:w="80"/>
              <w:left w:type="dxa" w:w="100"/>
              <w:bottom w:type="dxa" w:w="80"/>
              <w:right w:type="dxa" w:w="100"/>
            </w:tcMar>
          </w:tcPr>
          <w:p>
            <w:r>
              <w:rPr>
                <w:b w:val="false"/>
                <w:bCs w:val="false"/>
                <w:sz w:val="20"/>
                <w:szCs w:val="20"/>
              </w:rPr>
              <w:t xml:space="preserve">Définir les parcours conditionnels</w:t>
            </w:r>
          </w:p>
        </w:tc>
        <w:tc>
          <w:tcPr>
            <w:tcW w:type="dxa" w:w="1700"/>
            <w:tcMar>
              <w:top w:type="dxa" w:w="80"/>
              <w:left w:type="dxa" w:w="100"/>
              <w:bottom w:type="dxa" w:w="80"/>
              <w:right w:type="dxa" w:w="100"/>
            </w:tcMar>
          </w:tcPr>
          <w:p>
            <w:r>
              <w:rPr>
                <w:b w:val="false"/>
                <w:bCs w:val="false"/>
                <w:sz w:val="20"/>
                <w:szCs w:val="20"/>
              </w:rPr>
              <w:t xml:space="preserve">—</w:t>
            </w:r>
          </w:p>
        </w:tc>
      </w:tr>
      <w:tr>
        <w:tc>
          <w:tcPr>
            <w:tcW w:type="dxa" w:w="900"/>
            <w:tcMar>
              <w:top w:type="dxa" w:w="80"/>
              <w:left w:type="dxa" w:w="100"/>
              <w:bottom w:type="dxa" w:w="80"/>
              <w:right w:type="dxa" w:w="100"/>
            </w:tcMar>
          </w:tcPr>
          <w:p>
            <w:r>
              <w:rPr>
                <w:b w:val="false"/>
                <w:bCs w:val="false"/>
                <w:sz w:val="20"/>
                <w:szCs w:val="20"/>
              </w:rPr>
              <w:t xml:space="preserve">06</w:t>
            </w:r>
          </w:p>
        </w:tc>
        <w:tc>
          <w:tcPr>
            <w:tcW w:type="dxa" w:w="2600"/>
            <w:tcMar>
              <w:top w:type="dxa" w:w="80"/>
              <w:left w:type="dxa" w:w="100"/>
              <w:bottom w:type="dxa" w:w="80"/>
              <w:right w:type="dxa" w:w="100"/>
            </w:tcMar>
          </w:tcPr>
          <w:p>
            <w:r>
              <w:rPr>
                <w:b w:val="false"/>
                <w:bCs w:val="false"/>
                <w:sz w:val="20"/>
                <w:szCs w:val="20"/>
              </w:rPr>
              <w:t xml:space="preserve">Configuration du scrutin</w:t>
            </w:r>
          </w:p>
        </w:tc>
        <w:tc>
          <w:tcPr>
            <w:tcW w:type="dxa" w:w="3800"/>
            <w:tcMar>
              <w:top w:type="dxa" w:w="80"/>
              <w:left w:type="dxa" w:w="100"/>
              <w:bottom w:type="dxa" w:w="80"/>
              <w:right w:type="dxa" w:w="100"/>
            </w:tcMar>
          </w:tcPr>
          <w:p>
            <w:r>
              <w:rPr>
                <w:b w:val="false"/>
                <w:bCs w:val="false"/>
                <w:sz w:val="20"/>
                <w:szCs w:val="20"/>
              </w:rPr>
              <w:t xml:space="preserve">Choisir méthode et règles</w:t>
            </w:r>
          </w:p>
        </w:tc>
        <w:tc>
          <w:tcPr>
            <w:tcW w:type="dxa" w:w="1700"/>
            <w:tcMar>
              <w:top w:type="dxa" w:w="80"/>
              <w:left w:type="dxa" w:w="100"/>
              <w:bottom w:type="dxa" w:w="80"/>
              <w:right w:type="dxa" w:w="100"/>
            </w:tcMar>
          </w:tcPr>
          <w:p>
            <w:r>
              <w:rPr>
                <w:b w:val="false"/>
                <w:bCs w:val="false"/>
                <w:sz w:val="20"/>
                <w:szCs w:val="20"/>
              </w:rPr>
              <w:t xml:space="preserve">Planche 3</w:t>
            </w:r>
          </w:p>
        </w:tc>
      </w:tr>
      <w:tr>
        <w:tc>
          <w:tcPr>
            <w:tcW w:type="dxa" w:w="900"/>
            <w:tcMar>
              <w:top w:type="dxa" w:w="80"/>
              <w:left w:type="dxa" w:w="100"/>
              <w:bottom w:type="dxa" w:w="80"/>
              <w:right w:type="dxa" w:w="100"/>
            </w:tcMar>
          </w:tcPr>
          <w:p>
            <w:r>
              <w:rPr>
                <w:b w:val="false"/>
                <w:bCs w:val="false"/>
                <w:sz w:val="20"/>
                <w:szCs w:val="20"/>
              </w:rPr>
              <w:t xml:space="preserve">07</w:t>
            </w:r>
          </w:p>
        </w:tc>
        <w:tc>
          <w:tcPr>
            <w:tcW w:type="dxa" w:w="2600"/>
            <w:tcMar>
              <w:top w:type="dxa" w:w="80"/>
              <w:left w:type="dxa" w:w="100"/>
              <w:bottom w:type="dxa" w:w="80"/>
              <w:right w:type="dxa" w:w="100"/>
            </w:tcMar>
          </w:tcPr>
          <w:p>
            <w:r>
              <w:rPr>
                <w:b w:val="false"/>
                <w:bCs w:val="false"/>
                <w:sz w:val="20"/>
                <w:szCs w:val="20"/>
              </w:rPr>
              <w:t xml:space="preserve">Participants</w:t>
            </w:r>
          </w:p>
        </w:tc>
        <w:tc>
          <w:tcPr>
            <w:tcW w:type="dxa" w:w="3800"/>
            <w:tcMar>
              <w:top w:type="dxa" w:w="80"/>
              <w:left w:type="dxa" w:w="100"/>
              <w:bottom w:type="dxa" w:w="80"/>
              <w:right w:type="dxa" w:w="100"/>
            </w:tcMar>
          </w:tcPr>
          <w:p>
            <w:r>
              <w:rPr>
                <w:b w:val="false"/>
                <w:bCs w:val="false"/>
                <w:sz w:val="20"/>
                <w:szCs w:val="20"/>
              </w:rPr>
              <w:t xml:space="preserve">Gérer population et invitations</w:t>
            </w:r>
          </w:p>
        </w:tc>
        <w:tc>
          <w:tcPr>
            <w:tcW w:type="dxa" w:w="1700"/>
            <w:tcMar>
              <w:top w:type="dxa" w:w="80"/>
              <w:left w:type="dxa" w:w="100"/>
              <w:bottom w:type="dxa" w:w="80"/>
              <w:right w:type="dxa" w:w="100"/>
            </w:tcMar>
          </w:tcPr>
          <w:p>
            <w:r>
              <w:rPr>
                <w:b w:val="false"/>
                <w:bCs w:val="false"/>
                <w:sz w:val="20"/>
                <w:szCs w:val="20"/>
              </w:rPr>
              <w:t xml:space="preserve">—</w:t>
            </w:r>
          </w:p>
        </w:tc>
      </w:tr>
      <w:tr>
        <w:tc>
          <w:tcPr>
            <w:tcW w:type="dxa" w:w="900"/>
            <w:tcMar>
              <w:top w:type="dxa" w:w="80"/>
              <w:left w:type="dxa" w:w="100"/>
              <w:bottom w:type="dxa" w:w="80"/>
              <w:right w:type="dxa" w:w="100"/>
            </w:tcMar>
          </w:tcPr>
          <w:p>
            <w:r>
              <w:rPr>
                <w:b w:val="false"/>
                <w:bCs w:val="false"/>
                <w:sz w:val="20"/>
                <w:szCs w:val="20"/>
              </w:rPr>
              <w:t xml:space="preserve">08</w:t>
            </w:r>
          </w:p>
        </w:tc>
        <w:tc>
          <w:tcPr>
            <w:tcW w:type="dxa" w:w="2600"/>
            <w:tcMar>
              <w:top w:type="dxa" w:w="80"/>
              <w:left w:type="dxa" w:w="100"/>
              <w:bottom w:type="dxa" w:w="80"/>
              <w:right w:type="dxa" w:w="100"/>
            </w:tcMar>
          </w:tcPr>
          <w:p>
            <w:r>
              <w:rPr>
                <w:b w:val="false"/>
                <w:bCs w:val="false"/>
                <w:sz w:val="20"/>
                <w:szCs w:val="20"/>
              </w:rPr>
              <w:t xml:space="preserve">Prévisualisation</w:t>
            </w:r>
          </w:p>
        </w:tc>
        <w:tc>
          <w:tcPr>
            <w:tcW w:type="dxa" w:w="3800"/>
            <w:tcMar>
              <w:top w:type="dxa" w:w="80"/>
              <w:left w:type="dxa" w:w="100"/>
              <w:bottom w:type="dxa" w:w="80"/>
              <w:right w:type="dxa" w:w="100"/>
            </w:tcMar>
          </w:tcPr>
          <w:p>
            <w:r>
              <w:rPr>
                <w:b w:val="false"/>
                <w:bCs w:val="false"/>
                <w:sz w:val="20"/>
                <w:szCs w:val="20"/>
              </w:rPr>
              <w:t xml:space="preserve">Tester le parcours</w:t>
            </w:r>
          </w:p>
        </w:tc>
        <w:tc>
          <w:tcPr>
            <w:tcW w:type="dxa" w:w="1700"/>
            <w:tcMar>
              <w:top w:type="dxa" w:w="80"/>
              <w:left w:type="dxa" w:w="100"/>
              <w:bottom w:type="dxa" w:w="80"/>
              <w:right w:type="dxa" w:w="100"/>
            </w:tcMar>
          </w:tcPr>
          <w:p>
            <w:r>
              <w:rPr>
                <w:b w:val="false"/>
                <w:bCs w:val="false"/>
                <w:sz w:val="20"/>
                <w:szCs w:val="20"/>
              </w:rPr>
              <w:t xml:space="preserve">—</w:t>
            </w:r>
          </w:p>
        </w:tc>
      </w:tr>
      <w:tr>
        <w:tc>
          <w:tcPr>
            <w:tcW w:type="dxa" w:w="900"/>
            <w:tcMar>
              <w:top w:type="dxa" w:w="80"/>
              <w:left w:type="dxa" w:w="100"/>
              <w:bottom w:type="dxa" w:w="80"/>
              <w:right w:type="dxa" w:w="100"/>
            </w:tcMar>
          </w:tcPr>
          <w:p>
            <w:r>
              <w:rPr>
                <w:b w:val="false"/>
                <w:bCs w:val="false"/>
                <w:sz w:val="20"/>
                <w:szCs w:val="20"/>
              </w:rPr>
              <w:t xml:space="preserve">09</w:t>
            </w:r>
          </w:p>
        </w:tc>
        <w:tc>
          <w:tcPr>
            <w:tcW w:type="dxa" w:w="2600"/>
            <w:tcMar>
              <w:top w:type="dxa" w:w="80"/>
              <w:left w:type="dxa" w:w="100"/>
              <w:bottom w:type="dxa" w:w="80"/>
              <w:right w:type="dxa" w:w="100"/>
            </w:tcMar>
          </w:tcPr>
          <w:p>
            <w:r>
              <w:rPr>
                <w:b w:val="false"/>
                <w:bCs w:val="false"/>
                <w:sz w:val="20"/>
                <w:szCs w:val="20"/>
              </w:rPr>
              <w:t xml:space="preserve">Vote citoyen</w:t>
            </w:r>
          </w:p>
        </w:tc>
        <w:tc>
          <w:tcPr>
            <w:tcW w:type="dxa" w:w="3800"/>
            <w:tcMar>
              <w:top w:type="dxa" w:w="80"/>
              <w:left w:type="dxa" w:w="100"/>
              <w:bottom w:type="dxa" w:w="80"/>
              <w:right w:type="dxa" w:w="100"/>
            </w:tcMar>
          </w:tcPr>
          <w:p>
            <w:r>
              <w:rPr>
                <w:b w:val="false"/>
                <w:bCs w:val="false"/>
                <w:sz w:val="20"/>
                <w:szCs w:val="20"/>
              </w:rPr>
              <w:t xml:space="preserve">Participer sur desktop/mobile</w:t>
            </w:r>
          </w:p>
        </w:tc>
        <w:tc>
          <w:tcPr>
            <w:tcW w:type="dxa" w:w="1700"/>
            <w:tcMar>
              <w:top w:type="dxa" w:w="80"/>
              <w:left w:type="dxa" w:w="100"/>
              <w:bottom w:type="dxa" w:w="80"/>
              <w:right w:type="dxa" w:w="100"/>
            </w:tcMar>
          </w:tcPr>
          <w:p>
            <w:r>
              <w:rPr>
                <w:b w:val="false"/>
                <w:bCs w:val="false"/>
                <w:sz w:val="20"/>
                <w:szCs w:val="20"/>
              </w:rPr>
              <w:t xml:space="preserve">Planche 4</w:t>
            </w:r>
          </w:p>
        </w:tc>
      </w:tr>
      <w:tr>
        <w:tc>
          <w:tcPr>
            <w:tcW w:type="dxa" w:w="900"/>
            <w:tcMar>
              <w:top w:type="dxa" w:w="80"/>
              <w:left w:type="dxa" w:w="100"/>
              <w:bottom w:type="dxa" w:w="80"/>
              <w:right w:type="dxa" w:w="100"/>
            </w:tcMar>
          </w:tcPr>
          <w:p>
            <w:r>
              <w:rPr>
                <w:b w:val="false"/>
                <w:bCs w:val="false"/>
                <w:sz w:val="20"/>
                <w:szCs w:val="20"/>
              </w:rPr>
              <w:t xml:space="preserve">10</w:t>
            </w:r>
          </w:p>
        </w:tc>
        <w:tc>
          <w:tcPr>
            <w:tcW w:type="dxa" w:w="2600"/>
            <w:tcMar>
              <w:top w:type="dxa" w:w="80"/>
              <w:left w:type="dxa" w:w="100"/>
              <w:bottom w:type="dxa" w:w="80"/>
              <w:right w:type="dxa" w:w="100"/>
            </w:tcMar>
          </w:tcPr>
          <w:p>
            <w:r>
              <w:rPr>
                <w:b w:val="false"/>
                <w:bCs w:val="false"/>
                <w:sz w:val="20"/>
                <w:szCs w:val="20"/>
              </w:rPr>
              <w:t xml:space="preserve">Confirmation</w:t>
            </w:r>
          </w:p>
        </w:tc>
        <w:tc>
          <w:tcPr>
            <w:tcW w:type="dxa" w:w="3800"/>
            <w:tcMar>
              <w:top w:type="dxa" w:w="80"/>
              <w:left w:type="dxa" w:w="100"/>
              <w:bottom w:type="dxa" w:w="80"/>
              <w:right w:type="dxa" w:w="100"/>
            </w:tcMar>
          </w:tcPr>
          <w:p>
            <w:r>
              <w:rPr>
                <w:b w:val="false"/>
                <w:bCs w:val="false"/>
                <w:sz w:val="20"/>
                <w:szCs w:val="20"/>
              </w:rPr>
              <w:t xml:space="preserve">Confirmer et terminer la participation</w:t>
            </w:r>
          </w:p>
        </w:tc>
        <w:tc>
          <w:tcPr>
            <w:tcW w:type="dxa" w:w="1700"/>
            <w:tcMar>
              <w:top w:type="dxa" w:w="80"/>
              <w:left w:type="dxa" w:w="100"/>
              <w:bottom w:type="dxa" w:w="80"/>
              <w:right w:type="dxa" w:w="100"/>
            </w:tcMar>
          </w:tcPr>
          <w:p>
            <w:r>
              <w:rPr>
                <w:b w:val="false"/>
                <w:bCs w:val="false"/>
                <w:sz w:val="20"/>
                <w:szCs w:val="20"/>
              </w:rPr>
              <w:t xml:space="preserve">Planche 4 (mobile)</w:t>
            </w:r>
          </w:p>
        </w:tc>
      </w:tr>
      <w:tr>
        <w:tc>
          <w:tcPr>
            <w:tcW w:type="dxa" w:w="900"/>
            <w:tcMar>
              <w:top w:type="dxa" w:w="80"/>
              <w:left w:type="dxa" w:w="100"/>
              <w:bottom w:type="dxa" w:w="80"/>
              <w:right w:type="dxa" w:w="100"/>
            </w:tcMar>
          </w:tcPr>
          <w:p>
            <w:r>
              <w:rPr>
                <w:b w:val="false"/>
                <w:bCs w:val="false"/>
                <w:sz w:val="20"/>
                <w:szCs w:val="20"/>
              </w:rPr>
              <w:t xml:space="preserve">11</w:t>
            </w:r>
          </w:p>
        </w:tc>
        <w:tc>
          <w:tcPr>
            <w:tcW w:type="dxa" w:w="2600"/>
            <w:tcMar>
              <w:top w:type="dxa" w:w="80"/>
              <w:left w:type="dxa" w:w="100"/>
              <w:bottom w:type="dxa" w:w="80"/>
              <w:right w:type="dxa" w:w="100"/>
            </w:tcMar>
          </w:tcPr>
          <w:p>
            <w:r>
              <w:rPr>
                <w:b w:val="false"/>
                <w:bCs w:val="false"/>
                <w:sz w:val="20"/>
                <w:szCs w:val="20"/>
              </w:rPr>
              <w:t xml:space="preserve">Résultats en direct</w:t>
            </w:r>
          </w:p>
        </w:tc>
        <w:tc>
          <w:tcPr>
            <w:tcW w:type="dxa" w:w="3800"/>
            <w:tcMar>
              <w:top w:type="dxa" w:w="80"/>
              <w:left w:type="dxa" w:w="100"/>
              <w:bottom w:type="dxa" w:w="80"/>
              <w:right w:type="dxa" w:w="100"/>
            </w:tcMar>
          </w:tcPr>
          <w:p>
            <w:r>
              <w:rPr>
                <w:b w:val="false"/>
                <w:bCs w:val="false"/>
                <w:sz w:val="20"/>
                <w:szCs w:val="20"/>
              </w:rPr>
              <w:t xml:space="preserve">Suivre participation et résultats</w:t>
            </w:r>
          </w:p>
        </w:tc>
        <w:tc>
          <w:tcPr>
            <w:tcW w:type="dxa" w:w="1700"/>
            <w:tcMar>
              <w:top w:type="dxa" w:w="80"/>
              <w:left w:type="dxa" w:w="100"/>
              <w:bottom w:type="dxa" w:w="80"/>
              <w:right w:type="dxa" w:w="100"/>
            </w:tcMar>
          </w:tcPr>
          <w:p>
            <w:r>
              <w:rPr>
                <w:b w:val="false"/>
                <w:bCs w:val="false"/>
                <w:sz w:val="20"/>
                <w:szCs w:val="20"/>
              </w:rPr>
              <w:t xml:space="preserve">Planche 5</w:t>
            </w:r>
          </w:p>
        </w:tc>
      </w:tr>
      <w:tr>
        <w:tc>
          <w:tcPr>
            <w:tcW w:type="dxa" w:w="900"/>
            <w:tcMar>
              <w:top w:type="dxa" w:w="80"/>
              <w:left w:type="dxa" w:w="100"/>
              <w:bottom w:type="dxa" w:w="80"/>
              <w:right w:type="dxa" w:w="100"/>
            </w:tcMar>
          </w:tcPr>
          <w:p>
            <w:r>
              <w:rPr>
                <w:b w:val="false"/>
                <w:bCs w:val="false"/>
                <w:sz w:val="20"/>
                <w:szCs w:val="20"/>
              </w:rPr>
              <w:t xml:space="preserve">12</w:t>
            </w:r>
          </w:p>
        </w:tc>
        <w:tc>
          <w:tcPr>
            <w:tcW w:type="dxa" w:w="2600"/>
            <w:tcMar>
              <w:top w:type="dxa" w:w="80"/>
              <w:left w:type="dxa" w:w="100"/>
              <w:bottom w:type="dxa" w:w="80"/>
              <w:right w:type="dxa" w:w="100"/>
            </w:tcMar>
          </w:tcPr>
          <w:p>
            <w:r>
              <w:rPr>
                <w:b w:val="false"/>
                <w:bCs w:val="false"/>
                <w:sz w:val="20"/>
                <w:szCs w:val="20"/>
              </w:rPr>
              <w:t xml:space="preserve">Analyse</w:t>
            </w:r>
          </w:p>
        </w:tc>
        <w:tc>
          <w:tcPr>
            <w:tcW w:type="dxa" w:w="3800"/>
            <w:tcMar>
              <w:top w:type="dxa" w:w="80"/>
              <w:left w:type="dxa" w:w="100"/>
              <w:bottom w:type="dxa" w:w="80"/>
              <w:right w:type="dxa" w:w="100"/>
            </w:tcMar>
          </w:tcPr>
          <w:p>
            <w:r>
              <w:rPr>
                <w:b w:val="false"/>
                <w:bCs w:val="false"/>
                <w:sz w:val="20"/>
                <w:szCs w:val="20"/>
              </w:rPr>
              <w:t xml:space="preserve">Explorer statistiques et croisements</w:t>
            </w:r>
          </w:p>
        </w:tc>
        <w:tc>
          <w:tcPr>
            <w:tcW w:type="dxa" w:w="1700"/>
            <w:tcMar>
              <w:top w:type="dxa" w:w="80"/>
              <w:left w:type="dxa" w:w="100"/>
              <w:bottom w:type="dxa" w:w="80"/>
              <w:right w:type="dxa" w:w="100"/>
            </w:tcMar>
          </w:tcPr>
          <w:p>
            <w:r>
              <w:rPr>
                <w:b w:val="false"/>
                <w:bCs w:val="false"/>
                <w:sz w:val="20"/>
                <w:szCs w:val="20"/>
              </w:rPr>
              <w:t xml:space="preserve">Planche 6</w:t>
            </w:r>
          </w:p>
        </w:tc>
      </w:tr>
      <w:tr>
        <w:tc>
          <w:tcPr>
            <w:tcW w:type="dxa" w:w="900"/>
            <w:tcMar>
              <w:top w:type="dxa" w:w="80"/>
              <w:left w:type="dxa" w:w="100"/>
              <w:bottom w:type="dxa" w:w="80"/>
              <w:right w:type="dxa" w:w="100"/>
            </w:tcMar>
          </w:tcPr>
          <w:p>
            <w:r>
              <w:rPr>
                <w:b w:val="false"/>
                <w:bCs w:val="false"/>
                <w:sz w:val="20"/>
                <w:szCs w:val="20"/>
              </w:rPr>
              <w:t xml:space="preserve">13</w:t>
            </w:r>
          </w:p>
        </w:tc>
        <w:tc>
          <w:tcPr>
            <w:tcW w:type="dxa" w:w="2600"/>
            <w:tcMar>
              <w:top w:type="dxa" w:w="80"/>
              <w:left w:type="dxa" w:w="100"/>
              <w:bottom w:type="dxa" w:w="80"/>
              <w:right w:type="dxa" w:w="100"/>
            </w:tcMar>
          </w:tcPr>
          <w:p>
            <w:r>
              <w:rPr>
                <w:b w:val="false"/>
                <w:bCs w:val="false"/>
                <w:sz w:val="20"/>
                <w:szCs w:val="20"/>
              </w:rPr>
              <w:t xml:space="preserve">Présentation publique</w:t>
            </w:r>
          </w:p>
        </w:tc>
        <w:tc>
          <w:tcPr>
            <w:tcW w:type="dxa" w:w="3800"/>
            <w:tcMar>
              <w:top w:type="dxa" w:w="80"/>
              <w:left w:type="dxa" w:w="100"/>
              <w:bottom w:type="dxa" w:w="80"/>
              <w:right w:type="dxa" w:w="100"/>
            </w:tcMar>
          </w:tcPr>
          <w:p>
            <w:r>
              <w:rPr>
                <w:b w:val="false"/>
                <w:bCs w:val="false"/>
                <w:sz w:val="20"/>
                <w:szCs w:val="20"/>
              </w:rPr>
              <w:t xml:space="preserve">Publier une restitution lisible</w:t>
            </w:r>
          </w:p>
        </w:tc>
        <w:tc>
          <w:tcPr>
            <w:tcW w:type="dxa" w:w="1700"/>
            <w:tcMar>
              <w:top w:type="dxa" w:w="80"/>
              <w:left w:type="dxa" w:w="100"/>
              <w:bottom w:type="dxa" w:w="80"/>
              <w:right w:type="dxa" w:w="100"/>
            </w:tcMar>
          </w:tcPr>
          <w:p>
            <w:r>
              <w:rPr>
                <w:b w:val="false"/>
                <w:bCs w:val="false"/>
                <w:sz w:val="20"/>
                <w:szCs w:val="20"/>
              </w:rPr>
              <w:t xml:space="preserve">—</w:t>
            </w:r>
          </w:p>
        </w:tc>
      </w:tr>
      <w:tr>
        <w:tc>
          <w:tcPr>
            <w:tcW w:type="dxa" w:w="900"/>
            <w:tcMar>
              <w:top w:type="dxa" w:w="80"/>
              <w:left w:type="dxa" w:w="100"/>
              <w:bottom w:type="dxa" w:w="80"/>
              <w:right w:type="dxa" w:w="100"/>
            </w:tcMar>
          </w:tcPr>
          <w:p>
            <w:r>
              <w:rPr>
                <w:b w:val="false"/>
                <w:bCs w:val="false"/>
                <w:sz w:val="20"/>
                <w:szCs w:val="20"/>
              </w:rPr>
              <w:t xml:space="preserve">14</w:t>
            </w:r>
          </w:p>
        </w:tc>
        <w:tc>
          <w:tcPr>
            <w:tcW w:type="dxa" w:w="2600"/>
            <w:tcMar>
              <w:top w:type="dxa" w:w="80"/>
              <w:left w:type="dxa" w:w="100"/>
              <w:bottom w:type="dxa" w:w="80"/>
              <w:right w:type="dxa" w:w="100"/>
            </w:tcMar>
          </w:tcPr>
          <w:p>
            <w:r>
              <w:rPr>
                <w:b w:val="false"/>
                <w:bCs w:val="false"/>
                <w:sz w:val="20"/>
                <w:szCs w:val="20"/>
              </w:rPr>
              <w:t xml:space="preserve">Méthodologie</w:t>
            </w:r>
          </w:p>
        </w:tc>
        <w:tc>
          <w:tcPr>
            <w:tcW w:type="dxa" w:w="3800"/>
            <w:tcMar>
              <w:top w:type="dxa" w:w="80"/>
              <w:left w:type="dxa" w:w="100"/>
              <w:bottom w:type="dxa" w:w="80"/>
              <w:right w:type="dxa" w:w="100"/>
            </w:tcMar>
          </w:tcPr>
          <w:p>
            <w:r>
              <w:rPr>
                <w:b w:val="false"/>
                <w:bCs w:val="false"/>
                <w:sz w:val="20"/>
                <w:szCs w:val="20"/>
              </w:rPr>
              <w:t xml:space="preserve">Expliquer le calcul</w:t>
            </w:r>
          </w:p>
        </w:tc>
        <w:tc>
          <w:tcPr>
            <w:tcW w:type="dxa" w:w="1700"/>
            <w:tcMar>
              <w:top w:type="dxa" w:w="80"/>
              <w:left w:type="dxa" w:w="100"/>
              <w:bottom w:type="dxa" w:w="80"/>
              <w:right w:type="dxa" w:w="100"/>
            </w:tcMar>
          </w:tcPr>
          <w:p>
            <w:r>
              <w:rPr>
                <w:b w:val="false"/>
                <w:bCs w:val="false"/>
                <w:sz w:val="20"/>
                <w:szCs w:val="20"/>
              </w:rPr>
              <w:t xml:space="preserve">Planche 5 (bandeau)</w:t>
            </w:r>
          </w:p>
        </w:tc>
      </w:tr>
      <w:tr>
        <w:tc>
          <w:tcPr>
            <w:tcW w:type="dxa" w:w="900"/>
            <w:tcMar>
              <w:top w:type="dxa" w:w="80"/>
              <w:left w:type="dxa" w:w="100"/>
              <w:bottom w:type="dxa" w:w="80"/>
              <w:right w:type="dxa" w:w="100"/>
            </w:tcMar>
          </w:tcPr>
          <w:p>
            <w:r>
              <w:rPr>
                <w:b w:val="false"/>
                <w:bCs w:val="false"/>
                <w:sz w:val="20"/>
                <w:szCs w:val="20"/>
              </w:rPr>
              <w:t xml:space="preserve">15</w:t>
            </w:r>
          </w:p>
        </w:tc>
        <w:tc>
          <w:tcPr>
            <w:tcW w:type="dxa" w:w="2600"/>
            <w:tcMar>
              <w:top w:type="dxa" w:w="80"/>
              <w:left w:type="dxa" w:w="100"/>
              <w:bottom w:type="dxa" w:w="80"/>
              <w:right w:type="dxa" w:w="100"/>
            </w:tcMar>
          </w:tcPr>
          <w:p>
            <w:r>
              <w:rPr>
                <w:b w:val="false"/>
                <w:bCs w:val="false"/>
                <w:sz w:val="20"/>
                <w:szCs w:val="20"/>
              </w:rPr>
              <w:t xml:space="preserve">Audit</w:t>
            </w:r>
          </w:p>
        </w:tc>
        <w:tc>
          <w:tcPr>
            <w:tcW w:type="dxa" w:w="3800"/>
            <w:tcMar>
              <w:top w:type="dxa" w:w="80"/>
              <w:left w:type="dxa" w:w="100"/>
              <w:bottom w:type="dxa" w:w="80"/>
              <w:right w:type="dxa" w:w="100"/>
            </w:tcMar>
          </w:tcPr>
          <w:p>
            <w:r>
              <w:rPr>
                <w:b w:val="false"/>
                <w:bCs w:val="false"/>
                <w:sz w:val="20"/>
                <w:szCs w:val="20"/>
              </w:rPr>
              <w:t xml:space="preserve">Consulter événements et preuves</w:t>
            </w:r>
          </w:p>
        </w:tc>
        <w:tc>
          <w:tcPr>
            <w:tcW w:type="dxa" w:w="1700"/>
            <w:tcMar>
              <w:top w:type="dxa" w:w="80"/>
              <w:left w:type="dxa" w:w="100"/>
              <w:bottom w:type="dxa" w:w="80"/>
              <w:right w:type="dxa" w:w="100"/>
            </w:tcMar>
          </w:tcPr>
          <w:p>
            <w:r>
              <w:rPr>
                <w:b w:val="false"/>
                <w:bCs w:val="false"/>
                <w:sz w:val="20"/>
                <w:szCs w:val="20"/>
              </w:rPr>
              <w:t xml:space="preserve">—</w:t>
            </w:r>
          </w:p>
        </w:tc>
      </w:tr>
      <w:tr>
        <w:tc>
          <w:tcPr>
            <w:tcW w:type="dxa" w:w="900"/>
            <w:tcMar>
              <w:top w:type="dxa" w:w="80"/>
              <w:left w:type="dxa" w:w="100"/>
              <w:bottom w:type="dxa" w:w="80"/>
              <w:right w:type="dxa" w:w="100"/>
            </w:tcMar>
          </w:tcPr>
          <w:p>
            <w:r>
              <w:rPr>
                <w:b w:val="false"/>
                <w:bCs w:val="false"/>
                <w:sz w:val="20"/>
                <w:szCs w:val="20"/>
              </w:rPr>
              <w:t xml:space="preserve">16</w:t>
            </w:r>
          </w:p>
        </w:tc>
        <w:tc>
          <w:tcPr>
            <w:tcW w:type="dxa" w:w="2600"/>
            <w:tcMar>
              <w:top w:type="dxa" w:w="80"/>
              <w:left w:type="dxa" w:w="100"/>
              <w:bottom w:type="dxa" w:w="80"/>
              <w:right w:type="dxa" w:w="100"/>
            </w:tcMar>
          </w:tcPr>
          <w:p>
            <w:r>
              <w:rPr>
                <w:b w:val="false"/>
                <w:bCs w:val="false"/>
                <w:sz w:val="20"/>
                <w:szCs w:val="20"/>
              </w:rPr>
              <w:t xml:space="preserve">Modules</w:t>
            </w:r>
          </w:p>
        </w:tc>
        <w:tc>
          <w:tcPr>
            <w:tcW w:type="dxa" w:w="3800"/>
            <w:tcMar>
              <w:top w:type="dxa" w:w="80"/>
              <w:left w:type="dxa" w:w="100"/>
              <w:bottom w:type="dxa" w:w="80"/>
              <w:right w:type="dxa" w:w="100"/>
            </w:tcMar>
          </w:tcPr>
          <w:p>
            <w:r>
              <w:rPr>
                <w:b w:val="false"/>
                <w:bCs w:val="false"/>
                <w:sz w:val="20"/>
                <w:szCs w:val="20"/>
              </w:rPr>
              <w:t xml:space="preserve">Installer/configurer les extensions</w:t>
            </w:r>
          </w:p>
        </w:tc>
        <w:tc>
          <w:tcPr>
            <w:tcW w:type="dxa" w:w="1700"/>
            <w:tcMar>
              <w:top w:type="dxa" w:w="80"/>
              <w:left w:type="dxa" w:w="100"/>
              <w:bottom w:type="dxa" w:w="80"/>
              <w:right w:type="dxa" w:w="100"/>
            </w:tcMar>
          </w:tcPr>
          <w:p>
            <w:r>
              <w:rPr>
                <w:b w:val="false"/>
                <w:bCs w:val="false"/>
                <w:sz w:val="20"/>
                <w:szCs w:val="20"/>
              </w:rPr>
              <w:t xml:space="preserve">Planche 1 (menu)</w:t>
            </w:r>
          </w:p>
        </w:tc>
      </w:tr>
    </w:tbl>
    <w:p>
      <w:pPr>
        <w:pStyle w:val="Heading1"/>
        <w:spacing w:after="200" w:before="400"/>
      </w:pPr>
      <w:r>
        <w:t xml:space="preserve">11. Responsive, accessibilité et performance</w:t>
      </w:r>
    </w:p>
    <w:p>
      <w:pPr>
        <w:pStyle w:val="ListParagraph"/>
        <w:numPr>
          <w:ilvl w:val="0"/>
          <w:numId w:val="1"/>
        </w:numPr>
        <w:spacing w:after="80"/>
      </w:pPr>
      <w:r>
        <w:t xml:space="preserve">Interface citoyenne conçue mobile-first ; administration conçue desktop-first mais utilisable sur tablette.</w:t>
      </w:r>
    </w:p>
    <w:p>
      <w:pPr>
        <w:pStyle w:val="ListParagraph"/>
        <w:numPr>
          <w:ilvl w:val="0"/>
          <w:numId w:val="1"/>
        </w:numPr>
        <w:spacing w:after="80"/>
      </w:pPr>
      <w:r>
        <w:t xml:space="preserve">Navigation sans rechargement complet lorsque cela améliore l'expérience.</w:t>
      </w:r>
    </w:p>
    <w:p>
      <w:pPr>
        <w:pStyle w:val="ListParagraph"/>
        <w:numPr>
          <w:ilvl w:val="0"/>
          <w:numId w:val="1"/>
        </w:numPr>
        <w:spacing w:after="80"/>
      </w:pPr>
      <w:r>
        <w:t xml:space="preserve">Feedback immédiat pour les actions importantes.</w:t>
      </w:r>
    </w:p>
    <w:p>
      <w:pPr>
        <w:pStyle w:val="ListParagraph"/>
        <w:numPr>
          <w:ilvl w:val="0"/>
          <w:numId w:val="1"/>
        </w:numPr>
        <w:spacing w:after="80"/>
      </w:pPr>
      <w:r>
        <w:t xml:space="preserve">État de progression explicite lors d'un vote multi-question.</w:t>
      </w:r>
    </w:p>
    <w:p>
      <w:pPr>
        <w:pStyle w:val="ListParagraph"/>
        <w:numPr>
          <w:ilvl w:val="0"/>
          <w:numId w:val="1"/>
        </w:numPr>
        <w:spacing w:after="80"/>
      </w:pPr>
      <w:r>
        <w:t xml:space="preserve">Compatibilité clavier et technologies d'assistance.</w:t>
      </w:r>
    </w:p>
    <w:p>
      <w:pPr>
        <w:pStyle w:val="ListParagraph"/>
        <w:numPr>
          <w:ilvl w:val="0"/>
          <w:numId w:val="1"/>
        </w:numPr>
        <w:spacing w:after="80"/>
      </w:pPr>
      <w:r>
        <w:t xml:space="preserve">Contrastes et tailles de cible adaptés à l'accessibilité (WCAG à cibler comme référentiel).</w:t>
      </w:r>
    </w:p>
    <w:p>
      <w:pPr>
        <w:pStyle w:val="ListParagraph"/>
        <w:numPr>
          <w:ilvl w:val="0"/>
          <w:numId w:val="1"/>
        </w:numPr>
        <w:spacing w:after="80"/>
      </w:pPr>
      <w:r>
        <w:t xml:space="preserve">Réduction du poids initial de l'application.</w:t>
      </w:r>
    </w:p>
    <w:p>
      <w:pPr>
        <w:pStyle w:val="ListParagraph"/>
        <w:numPr>
          <w:ilvl w:val="0"/>
          <w:numId w:val="1"/>
        </w:numPr>
        <w:spacing w:after="80"/>
      </w:pPr>
      <w:r>
        <w:t xml:space="preserve">Mise en cache des ressources statiques.</w:t>
      </w:r>
    </w:p>
    <w:p>
      <w:pPr>
        <w:pStyle w:val="ListParagraph"/>
        <w:numPr>
          <w:ilvl w:val="0"/>
          <w:numId w:val="1"/>
        </w:numPr>
        <w:spacing w:after="80"/>
      </w:pPr>
      <w:r>
        <w:t xml:space="preserve">Pagination et chargement progressif des grands ensembles.</w:t>
      </w:r>
    </w:p>
    <w:p>
      <w:pPr>
        <w:pStyle w:val="ListParagraph"/>
        <w:numPr>
          <w:ilvl w:val="0"/>
          <w:numId w:val="1"/>
        </w:numPr>
        <w:spacing w:after="80"/>
      </w:pPr>
      <w:r>
        <w:t xml:space="preserve">Actualisation temps réel par WebSocket ou Server-Sent Events lorsque nécessaire.</w:t>
      </w:r>
    </w:p>
    <w:p>
      <w:pPr>
        <w:pStyle w:val="ListParagraph"/>
        <w:numPr>
          <w:ilvl w:val="0"/>
          <w:numId w:val="1"/>
        </w:numPr>
        <w:spacing w:after="80"/>
      </w:pPr>
      <w:r>
        <w:t xml:space="preserve">Objectifs de performance mesurés par tests automatisés plutôt que par promesse qualitative.</w:t>
      </w:r>
    </w:p>
    <w:p>
      <w:pPr>
        <w:pStyle w:val="Heading1"/>
        <w:spacing w:after="200" w:before="400"/>
      </w:pPr>
      <w:r>
        <w:t xml:space="preserve">12. Architecture technique cible</w:t>
      </w:r>
    </w:p>
    <w:p>
      <w:pPr>
        <w:shd w:fill="EAF1F8" w:val="clear"/>
      </w:pPr>
      <w:r>
        <w:rPr>
          <w:rFonts w:ascii="Consolas" w:cs="Consolas" w:eastAsia="Consolas" w:hAnsi="Consolas"/>
          <w:sz w:val="20"/>
          <w:szCs w:val="20"/>
        </w:rPr>
        <w:t xml:space="preserve">Navigateur / PWA</w:t>
      </w:r>
    </w:p>
    <w:p>
      <w:pPr>
        <w:shd w:fill="EAF1F8" w:val="clear"/>
      </w:pPr>
      <w:r>
        <w:rPr>
          <w:rFonts w:ascii="Consolas" w:cs="Consolas" w:eastAsia="Consolas" w:hAnsi="Consolas"/>
          <w:sz w:val="20"/>
          <w:szCs w:val="20"/>
        </w:rPr>
        <w:t xml:space="preserve">│</w:t>
      </w:r>
    </w:p>
    <w:p>
      <w:pPr>
        <w:shd w:fill="EAF1F8" w:val="clear"/>
      </w:pPr>
      <w:r>
        <w:rPr>
          <w:rFonts w:ascii="Consolas" w:cs="Consolas" w:eastAsia="Consolas" w:hAnsi="Consolas"/>
          <w:sz w:val="20"/>
          <w:szCs w:val="20"/>
        </w:rPr>
        <w:t xml:space="preserve">HTTPS / WebSocket / SSE</w:t>
      </w:r>
    </w:p>
    <w:p>
      <w:pPr>
        <w:shd w:fill="EAF1F8" w:val="clear"/>
      </w:pPr>
      <w:r>
        <w:rPr>
          <w:rFonts w:ascii="Consolas" w:cs="Consolas" w:eastAsia="Consolas" w:hAnsi="Consolas"/>
          <w:sz w:val="20"/>
          <w:szCs w:val="20"/>
        </w:rPr>
        <w:t xml:space="preserve">│</w:t>
      </w:r>
    </w:p>
    <w:p>
      <w:pPr>
        <w:shd w:fill="EAF1F8" w:val="clear"/>
      </w:pPr>
      <w:r>
        <w:rPr>
          <w:rFonts w:ascii="Consolas" w:cs="Consolas" w:eastAsia="Consolas" w:hAnsi="Consolas"/>
          <w:sz w:val="20"/>
          <w:szCs w:val="20"/>
        </w:rPr>
        <w:t xml:space="preserve">API (REST/OpenAPI)</w:t>
      </w:r>
    </w:p>
    <w:p>
      <w:pPr>
        <w:shd w:fill="EAF1F8" w:val="clear"/>
      </w:pPr>
      <w:r>
        <w:rPr>
          <w:rFonts w:ascii="Consolas" w:cs="Consolas" w:eastAsia="Consolas" w:hAnsi="Consolas"/>
          <w:sz w:val="20"/>
          <w:szCs w:val="20"/>
        </w:rPr>
        <w:t xml:space="preserve">│</w:t>
      </w:r>
    </w:p>
    <w:p>
      <w:pPr>
        <w:shd w:fill="EAF1F8" w:val="clear"/>
      </w:pPr>
      <w:r>
        <w:rPr>
          <w:rFonts w:ascii="Consolas" w:cs="Consolas" w:eastAsia="Consolas" w:hAnsi="Consolas"/>
          <w:sz w:val="20"/>
          <w:szCs w:val="20"/>
        </w:rPr>
        <w:t xml:space="preserve">Rust Core</w:t>
      </w:r>
    </w:p>
    <w:p>
      <w:pPr>
        <w:shd w:fill="EAF1F8" w:val="clear"/>
      </w:pPr>
      <w:r>
        <w:rPr>
          <w:rFonts w:ascii="Consolas" w:cs="Consolas" w:eastAsia="Consolas" w:hAnsi="Consolas"/>
          <w:sz w:val="20"/>
          <w:szCs w:val="20"/>
        </w:rPr>
        <w:t xml:space="preserve">├── Identity &amp; permissions</w:t>
      </w:r>
    </w:p>
    <w:p>
      <w:pPr>
        <w:shd w:fill="EAF1F8" w:val="clear"/>
      </w:pPr>
      <w:r>
        <w:rPr>
          <w:rFonts w:ascii="Consolas" w:cs="Consolas" w:eastAsia="Consolas" w:hAnsi="Consolas"/>
          <w:sz w:val="20"/>
          <w:szCs w:val="20"/>
        </w:rPr>
        <w:t xml:space="preserve">├── Campaign/Form engine</w:t>
      </w:r>
    </w:p>
    <w:p>
      <w:pPr>
        <w:shd w:fill="EAF1F8" w:val="clear"/>
      </w:pPr>
      <w:r>
        <w:rPr>
          <w:rFonts w:ascii="Consolas" w:cs="Consolas" w:eastAsia="Consolas" w:hAnsi="Consolas"/>
          <w:sz w:val="20"/>
          <w:szCs w:val="20"/>
        </w:rPr>
        <w:t xml:space="preserve">├── Voting engine (trait-based + hôte WASM)</w:t>
      </w:r>
    </w:p>
    <w:p>
      <w:pPr>
        <w:shd w:fill="EAF1F8" w:val="clear"/>
      </w:pPr>
      <w:r>
        <w:rPr>
          <w:rFonts w:ascii="Consolas" w:cs="Consolas" w:eastAsia="Consolas" w:hAnsi="Consolas"/>
          <w:sz w:val="20"/>
          <w:szCs w:val="20"/>
        </w:rPr>
        <w:t xml:space="preserve">├── Statistics engine</w:t>
      </w:r>
    </w:p>
    <w:p>
      <w:pPr>
        <w:shd w:fill="EAF1F8" w:val="clear"/>
      </w:pPr>
      <w:r>
        <w:rPr>
          <w:rFonts w:ascii="Consolas" w:cs="Consolas" w:eastAsia="Consolas" w:hAnsi="Consolas"/>
          <w:sz w:val="20"/>
          <w:szCs w:val="20"/>
        </w:rPr>
        <w:t xml:space="preserve">├── Visualization metadata</w:t>
      </w:r>
    </w:p>
    <w:p>
      <w:pPr>
        <w:shd w:fill="EAF1F8" w:val="clear"/>
      </w:pPr>
      <w:r>
        <w:rPr>
          <w:rFonts w:ascii="Consolas" w:cs="Consolas" w:eastAsia="Consolas" w:hAnsi="Consolas"/>
          <w:sz w:val="20"/>
          <w:szCs w:val="20"/>
        </w:rPr>
        <w:t xml:space="preserve">├── Export engine</w:t>
      </w:r>
    </w:p>
    <w:p>
      <w:pPr>
        <w:shd w:fill="EAF1F8" w:val="clear"/>
      </w:pPr>
      <w:r>
        <w:rPr>
          <w:rFonts w:ascii="Consolas" w:cs="Consolas" w:eastAsia="Consolas" w:hAnsi="Consolas"/>
          <w:sz w:val="20"/>
          <w:szCs w:val="20"/>
        </w:rPr>
        <w:t xml:space="preserve">└── Audit</w:t>
      </w:r>
    </w:p>
    <w:p>
      <w:pPr>
        <w:shd w:fill="EAF1F8" w:val="clear"/>
      </w:pPr>
      <w:r>
        <w:rPr>
          <w:rFonts w:ascii="Consolas" w:cs="Consolas" w:eastAsia="Consolas" w:hAnsi="Consolas"/>
          <w:sz w:val="20"/>
          <w:szCs w:val="20"/>
        </w:rPr>
        <w:t xml:space="preserve">│</w:t>
      </w:r>
    </w:p>
    <w:p>
      <w:pPr>
        <w:shd w:fill="EAF1F8" w:val="clear"/>
      </w:pPr>
      <w:r>
        <w:rPr>
          <w:rFonts w:ascii="Consolas" w:cs="Consolas" w:eastAsia="Consolas" w:hAnsi="Consolas"/>
          <w:sz w:val="20"/>
          <w:szCs w:val="20"/>
        </w:rPr>
        <w:t xml:space="preserve">PostgreSQL + stockage fichiers</w:t>
      </w:r>
    </w:p>
    <w:p>
      <w:pPr>
        <w:spacing w:after="160"/>
        <w:jc w:val="left"/>
      </w:pPr>
      <w:r>
        <w:rPr>
          <w:b w:val="false"/>
          <w:bCs w:val="false"/>
          <w:i w:val="false"/>
          <w:iCs w:val="false"/>
        </w:rPr>
        <w:t xml:space="preserve"/>
      </w:r>
    </w:p>
    <w:p>
      <w:pPr>
        <w:pStyle w:val="Heading2"/>
        <w:spacing w:after="150" w:before="300"/>
      </w:pPr>
      <w:r>
        <w:t xml:space="preserve">12.1 Choix Rust</w:t>
      </w:r>
    </w:p>
    <w:p>
      <w:pPr>
        <w:spacing w:after="160"/>
        <w:jc w:val="left"/>
      </w:pPr>
      <w:r>
        <w:rPr>
          <w:b w:val="false"/>
          <w:bCs w:val="false"/>
          <w:i w:val="false"/>
          <w:iCs w:val="false"/>
        </w:rPr>
        <w:t xml:space="preserve">Rust est recommandé pour le noyau métier et les calculs critiques : règles de vote, validation, agrégation, exports et fonctions de sécurité. L'interface web n'a pas besoin d'être entièrement écrite en Rust : elle doit privilégier les technologies web qui permettent la meilleure expérience utilisateur, tout en consommant une API stable.</w:t>
      </w:r>
    </w:p>
    <w:p>
      <w:pPr>
        <w:pStyle w:val="Heading2"/>
        <w:spacing w:after="150" w:before="300"/>
      </w:pPr>
      <w:r>
        <w:t xml:space="preserve">12.2 Déploiement</w:t>
      </w:r>
    </w:p>
    <w:p>
      <w:pPr>
        <w:pStyle w:val="ListParagraph"/>
        <w:numPr>
          <w:ilvl w:val="0"/>
          <w:numId w:val="1"/>
        </w:numPr>
        <w:spacing w:after="80"/>
      </w:pPr>
      <w:r>
        <w:t xml:space="preserve">Auto-hébergement serveur.</w:t>
      </w:r>
    </w:p>
    <w:p>
      <w:pPr>
        <w:pStyle w:val="ListParagraph"/>
        <w:numPr>
          <w:ilvl w:val="0"/>
          <w:numId w:val="1"/>
        </w:numPr>
        <w:spacing w:after="80"/>
      </w:pPr>
      <w:r>
        <w:t xml:space="preserve">Conteneurisation Docker/Podman.</w:t>
      </w:r>
    </w:p>
    <w:p>
      <w:pPr>
        <w:pStyle w:val="ListParagraph"/>
        <w:numPr>
          <w:ilvl w:val="0"/>
          <w:numId w:val="1"/>
        </w:numPr>
        <w:spacing w:after="80"/>
      </w:pPr>
      <w:r>
        <w:t xml:space="preserve">Installation locale pour réunions, associations et environnements isolés.</w:t>
      </w:r>
    </w:p>
    <w:p>
      <w:pPr>
        <w:pStyle w:val="ListParagraph"/>
        <w:numPr>
          <w:ilvl w:val="0"/>
          <w:numId w:val="1"/>
        </w:numPr>
        <w:spacing w:after="80"/>
      </w:pPr>
      <w:r>
        <w:t xml:space="preserve">Base PostgreSQL en mode serveur ; base embarquée (ex. SQLite) éventuelle pour certains modes locaux.</w:t>
      </w:r>
    </w:p>
    <w:p>
      <w:pPr>
        <w:pStyle w:val="ListParagraph"/>
        <w:numPr>
          <w:ilvl w:val="0"/>
          <w:numId w:val="1"/>
        </w:numPr>
        <w:spacing w:after="80"/>
      </w:pPr>
      <w:r>
        <w:t xml:space="preserve">Sauvegardes exportables et restaurables.</w:t>
      </w:r>
    </w:p>
    <w:p>
      <w:pPr>
        <w:pStyle w:val="Heading1"/>
        <w:spacing w:after="200" w:before="400"/>
      </w:pPr>
      <w:r>
        <w:t xml:space="preserve">13. Sécurité, confidentialité et vérifiabilité</w:t>
      </w:r>
    </w:p>
    <w:p>
      <w:pPr>
        <w:spacing w:after="160"/>
        <w:jc w:val="left"/>
      </w:pPr>
      <w:r>
        <w:rPr>
          <w:b w:val="false"/>
          <w:bCs w:val="false"/>
          <w:i w:val="false"/>
          <w:iCs w:val="false"/>
        </w:rPr>
        <w:t xml:space="preserve">Le produit devra distinguer les exigences d'un sondage ordinaire de celles d'un scrutin secret. Il ne faut pas appliquer une architecture cryptographique lourde à tous les cas d'usage, mais elle doit rester possible pour les scrutins qui l'exigent.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AF1F8" w:val="clear"/>
            <w:tcMar>
              <w:top w:type="dxa" w:w="80"/>
              <w:left w:type="dxa" w:w="100"/>
              <w:bottom w:type="dxa" w:w="80"/>
              <w:right w:type="dxa" w:w="100"/>
            </w:tcMar>
          </w:tcPr>
          <w:p>
            <w:r>
              <w:rPr>
                <w:b/>
                <w:bCs/>
                <w:sz w:val="20"/>
                <w:szCs w:val="20"/>
              </w:rPr>
              <w:t xml:space="preserve">Problème</w:t>
            </w:r>
          </w:p>
        </w:tc>
        <w:tc>
          <w:tcPr>
            <w:tcW w:type="dxa" w:w="6000"/>
            <w:shd w:fill="EAF1F8" w:val="clear"/>
            <w:tcMar>
              <w:top w:type="dxa" w:w="80"/>
              <w:left w:type="dxa" w:w="100"/>
              <w:bottom w:type="dxa" w:w="80"/>
              <w:right w:type="dxa" w:w="100"/>
            </w:tcMar>
          </w:tcPr>
          <w:p>
            <w:r>
              <w:rPr>
                <w:b/>
                <w:bCs/>
                <w:sz w:val="20"/>
                <w:szCs w:val="20"/>
              </w:rPr>
              <w:t xml:space="preserve">Réponse cible</w:t>
            </w:r>
          </w:p>
        </w:tc>
      </w:tr>
      <w:tr>
        <w:tc>
          <w:tcPr>
            <w:tcW w:type="dxa" w:w="3000"/>
            <w:tcMar>
              <w:top w:type="dxa" w:w="80"/>
              <w:left w:type="dxa" w:w="100"/>
              <w:bottom w:type="dxa" w:w="80"/>
              <w:right w:type="dxa" w:w="100"/>
            </w:tcMar>
          </w:tcPr>
          <w:p>
            <w:r>
              <w:rPr>
                <w:b w:val="false"/>
                <w:bCs w:val="false"/>
                <w:sz w:val="20"/>
                <w:szCs w:val="20"/>
              </w:rPr>
              <w:t xml:space="preserve">Authentification</w:t>
            </w:r>
          </w:p>
        </w:tc>
        <w:tc>
          <w:tcPr>
            <w:tcW w:type="dxa" w:w="6000"/>
            <w:tcMar>
              <w:top w:type="dxa" w:w="80"/>
              <w:left w:type="dxa" w:w="100"/>
              <w:bottom w:type="dxa" w:w="80"/>
              <w:right w:type="dxa" w:w="100"/>
            </w:tcMar>
          </w:tcPr>
          <w:p>
            <w:r>
              <w:rPr>
                <w:b w:val="false"/>
                <w:bCs w:val="false"/>
                <w:sz w:val="20"/>
                <w:szCs w:val="20"/>
              </w:rPr>
              <w:t xml:space="preserve">Sessions sécurisées, MFA optionnel selon contexte</w:t>
            </w:r>
          </w:p>
        </w:tc>
      </w:tr>
      <w:tr>
        <w:tc>
          <w:tcPr>
            <w:tcW w:type="dxa" w:w="3000"/>
            <w:tcMar>
              <w:top w:type="dxa" w:w="80"/>
              <w:left w:type="dxa" w:w="100"/>
              <w:bottom w:type="dxa" w:w="80"/>
              <w:right w:type="dxa" w:w="100"/>
            </w:tcMar>
          </w:tcPr>
          <w:p>
            <w:r>
              <w:rPr>
                <w:b w:val="false"/>
                <w:bCs w:val="false"/>
                <w:sz w:val="20"/>
                <w:szCs w:val="20"/>
              </w:rPr>
              <w:t xml:space="preserve">Autorisation</w:t>
            </w:r>
          </w:p>
        </w:tc>
        <w:tc>
          <w:tcPr>
            <w:tcW w:type="dxa" w:w="6000"/>
            <w:tcMar>
              <w:top w:type="dxa" w:w="80"/>
              <w:left w:type="dxa" w:w="100"/>
              <w:bottom w:type="dxa" w:w="80"/>
              <w:right w:type="dxa" w:w="100"/>
            </w:tcMar>
          </w:tcPr>
          <w:p>
            <w:r>
              <w:rPr>
                <w:b w:val="false"/>
                <w:bCs w:val="false"/>
                <w:sz w:val="20"/>
                <w:szCs w:val="20"/>
              </w:rPr>
              <w:t xml:space="preserve">RBAC / permissions fines</w:t>
            </w:r>
          </w:p>
        </w:tc>
      </w:tr>
      <w:tr>
        <w:tc>
          <w:tcPr>
            <w:tcW w:type="dxa" w:w="3000"/>
            <w:tcMar>
              <w:top w:type="dxa" w:w="80"/>
              <w:left w:type="dxa" w:w="100"/>
              <w:bottom w:type="dxa" w:w="80"/>
              <w:right w:type="dxa" w:w="100"/>
            </w:tcMar>
          </w:tcPr>
          <w:p>
            <w:r>
              <w:rPr>
                <w:b w:val="false"/>
                <w:bCs w:val="false"/>
                <w:sz w:val="20"/>
                <w:szCs w:val="20"/>
              </w:rPr>
              <w:t xml:space="preserve">Secret du vote</w:t>
            </w:r>
          </w:p>
        </w:tc>
        <w:tc>
          <w:tcPr>
            <w:tcW w:type="dxa" w:w="6000"/>
            <w:tcMar>
              <w:top w:type="dxa" w:w="80"/>
              <w:left w:type="dxa" w:w="100"/>
              <w:bottom w:type="dxa" w:w="80"/>
              <w:right w:type="dxa" w:w="100"/>
            </w:tcMar>
          </w:tcPr>
          <w:p>
            <w:r>
              <w:rPr>
                <w:b w:val="false"/>
                <w:bCs w:val="false"/>
                <w:sz w:val="20"/>
                <w:szCs w:val="20"/>
              </w:rPr>
              <w:t xml:space="preserve">Séparation identité/bulletin lorsque le mode le requiert</w:t>
            </w:r>
          </w:p>
        </w:tc>
      </w:tr>
      <w:tr>
        <w:tc>
          <w:tcPr>
            <w:tcW w:type="dxa" w:w="3000"/>
            <w:tcMar>
              <w:top w:type="dxa" w:w="80"/>
              <w:left w:type="dxa" w:w="100"/>
              <w:bottom w:type="dxa" w:w="80"/>
              <w:right w:type="dxa" w:w="100"/>
            </w:tcMar>
          </w:tcPr>
          <w:p>
            <w:r>
              <w:rPr>
                <w:b w:val="false"/>
                <w:bCs w:val="false"/>
                <w:sz w:val="20"/>
                <w:szCs w:val="20"/>
              </w:rPr>
              <w:t xml:space="preserve">Intégrité</w:t>
            </w:r>
          </w:p>
        </w:tc>
        <w:tc>
          <w:tcPr>
            <w:tcW w:type="dxa" w:w="6000"/>
            <w:tcMar>
              <w:top w:type="dxa" w:w="80"/>
              <w:left w:type="dxa" w:w="100"/>
              <w:bottom w:type="dxa" w:w="80"/>
              <w:right w:type="dxa" w:w="100"/>
            </w:tcMar>
          </w:tcPr>
          <w:p>
            <w:r>
              <w:rPr>
                <w:b w:val="false"/>
                <w:bCs w:val="false"/>
                <w:sz w:val="20"/>
                <w:szCs w:val="20"/>
              </w:rPr>
              <w:t xml:space="preserve">Journalisation, signatures/hachage selon niveau de sécurité</w:t>
            </w:r>
          </w:p>
        </w:tc>
      </w:tr>
      <w:tr>
        <w:tc>
          <w:tcPr>
            <w:tcW w:type="dxa" w:w="3000"/>
            <w:tcMar>
              <w:top w:type="dxa" w:w="80"/>
              <w:left w:type="dxa" w:w="100"/>
              <w:bottom w:type="dxa" w:w="80"/>
              <w:right w:type="dxa" w:w="100"/>
            </w:tcMar>
          </w:tcPr>
          <w:p>
            <w:r>
              <w:rPr>
                <w:b w:val="false"/>
                <w:bCs w:val="false"/>
                <w:sz w:val="20"/>
                <w:szCs w:val="20"/>
              </w:rPr>
              <w:t xml:space="preserve">Vérification</w:t>
            </w:r>
          </w:p>
        </w:tc>
        <w:tc>
          <w:tcPr>
            <w:tcW w:type="dxa" w:w="6000"/>
            <w:tcMar>
              <w:top w:type="dxa" w:w="80"/>
              <w:left w:type="dxa" w:w="100"/>
              <w:bottom w:type="dxa" w:w="80"/>
              <w:right w:type="dxa" w:w="100"/>
            </w:tcMar>
          </w:tcPr>
          <w:p>
            <w:r>
              <w:rPr>
                <w:b w:val="false"/>
                <w:bCs w:val="false"/>
                <w:sz w:val="20"/>
                <w:szCs w:val="20"/>
              </w:rPr>
              <w:t xml:space="preserve">Preuve de prise en compte et audit du dépouillement selon le scrutin</w:t>
            </w:r>
          </w:p>
        </w:tc>
      </w:tr>
      <w:tr>
        <w:tc>
          <w:tcPr>
            <w:tcW w:type="dxa" w:w="3000"/>
            <w:tcMar>
              <w:top w:type="dxa" w:w="80"/>
              <w:left w:type="dxa" w:w="100"/>
              <w:bottom w:type="dxa" w:w="80"/>
              <w:right w:type="dxa" w:w="100"/>
            </w:tcMar>
          </w:tcPr>
          <w:p>
            <w:r>
              <w:rPr>
                <w:b w:val="false"/>
                <w:bCs w:val="false"/>
                <w:sz w:val="20"/>
                <w:szCs w:val="20"/>
              </w:rPr>
              <w:t xml:space="preserve">Traçabilité</w:t>
            </w:r>
          </w:p>
        </w:tc>
        <w:tc>
          <w:tcPr>
            <w:tcW w:type="dxa" w:w="6000"/>
            <w:tcMar>
              <w:top w:type="dxa" w:w="80"/>
              <w:left w:type="dxa" w:w="100"/>
              <w:bottom w:type="dxa" w:w="80"/>
              <w:right w:type="dxa" w:w="100"/>
            </w:tcMar>
          </w:tcPr>
          <w:p>
            <w:r>
              <w:rPr>
                <w:b w:val="false"/>
                <w:bCs w:val="false"/>
                <w:sz w:val="20"/>
                <w:szCs w:val="20"/>
              </w:rPr>
              <w:t xml:space="preserve">Journal d'audit séparé des données de vote</w:t>
            </w:r>
          </w:p>
        </w:tc>
      </w:tr>
      <w:tr>
        <w:tc>
          <w:tcPr>
            <w:tcW w:type="dxa" w:w="3000"/>
            <w:tcMar>
              <w:top w:type="dxa" w:w="80"/>
              <w:left w:type="dxa" w:w="100"/>
              <w:bottom w:type="dxa" w:w="80"/>
              <w:right w:type="dxa" w:w="100"/>
            </w:tcMar>
          </w:tcPr>
          <w:p>
            <w:r>
              <w:rPr>
                <w:b w:val="false"/>
                <w:bCs w:val="false"/>
                <w:sz w:val="20"/>
                <w:szCs w:val="20"/>
              </w:rPr>
              <w:t xml:space="preserve">Protection des données</w:t>
            </w:r>
          </w:p>
        </w:tc>
        <w:tc>
          <w:tcPr>
            <w:tcW w:type="dxa" w:w="6000"/>
            <w:tcMar>
              <w:top w:type="dxa" w:w="80"/>
              <w:left w:type="dxa" w:w="100"/>
              <w:bottom w:type="dxa" w:w="80"/>
              <w:right w:type="dxa" w:w="100"/>
            </w:tcMar>
          </w:tcPr>
          <w:p>
            <w:r>
              <w:rPr>
                <w:b w:val="false"/>
                <w:bCs w:val="false"/>
                <w:sz w:val="20"/>
                <w:szCs w:val="20"/>
              </w:rPr>
              <w:t xml:space="preserve">Minimisation, durée de conservation configurable</w:t>
            </w:r>
          </w:p>
        </w:tc>
      </w:tr>
    </w:tbl>
    <w:p>
      <w:pPr>
        <w:spacing w:after="160"/>
        <w:jc w:val="left"/>
      </w:pPr>
      <w:r>
        <w:rPr>
          <w:b w:val="false"/>
          <w:bCs w:val="false"/>
          <w:i w:val="false"/>
          <w:iCs w:val="false"/>
        </w:rPr>
        <w:t xml:space="preserve">Helios documente un modèle de vote secret avec suivi permettant de vérifier qu'un bulletin a été reçu et compté ; Belenios met également l'accent sur la confidentialité et la vérifiabilité cryptographique ; Agora Voting/nVotes illustre un usage en contexte politique réel avec plusieurs méthodes d'authentification du votant. Ces projets doivent servir de références d'architecture et de recherche, pas de promesse que tous les modes AgoraVote seront cryptographiquement vérifiables.</w:t>
      </w:r>
    </w:p>
    <w:p>
      <w:pPr>
        <w:pStyle w:val="Heading1"/>
        <w:spacing w:after="200" w:before="400"/>
      </w:pPr>
      <w:r>
        <w:t xml:space="preserve">14. Interopérabilité et standards</w:t>
      </w:r>
    </w:p>
    <w:p>
      <w:pPr>
        <w:spacing w:after="160"/>
        <w:jc w:val="left"/>
      </w:pPr>
      <w:r>
        <w:rPr>
          <w:b w:val="false"/>
          <w:bCs w:val="false"/>
          <w:i w:val="false"/>
          <w:iCs w:val="false"/>
        </w:rPr>
        <w:t xml:space="preserve">L'architecture doit privilégier des formats ouverts et documentés. Le modèle de données interne peut être optimisé pour l'application, mais les exports doivent rester compréhensibles hors de celle-ci.</w:t>
      </w:r>
    </w:p>
    <w:p>
      <w:pPr>
        <w:pStyle w:val="ListParagraph"/>
        <w:numPr>
          <w:ilvl w:val="0"/>
          <w:numId w:val="1"/>
        </w:numPr>
        <w:spacing w:after="80"/>
      </w:pPr>
      <w:r>
        <w:t xml:space="preserve">JSON pour l'API et les configurations.</w:t>
      </w:r>
    </w:p>
    <w:p>
      <w:pPr>
        <w:pStyle w:val="ListParagraph"/>
        <w:numPr>
          <w:ilvl w:val="0"/>
          <w:numId w:val="1"/>
        </w:numPr>
        <w:spacing w:after="80"/>
      </w:pPr>
      <w:r>
        <w:t xml:space="preserve">CSV pour les exports tabulaires.</w:t>
      </w:r>
    </w:p>
    <w:p>
      <w:pPr>
        <w:pStyle w:val="ListParagraph"/>
        <w:numPr>
          <w:ilvl w:val="0"/>
          <w:numId w:val="1"/>
        </w:numPr>
        <w:spacing w:after="80"/>
      </w:pPr>
      <w:r>
        <w:t xml:space="preserve">XML lorsque l'interopérabilité électorale l'exige (NIST CDF, EML — Election Markup Language, standard OASIS, à étudier en complément du NIST CDF pour la partie internationale).</w:t>
      </w:r>
    </w:p>
    <w:p>
      <w:pPr>
        <w:pStyle w:val="ListParagraph"/>
        <w:numPr>
          <w:ilvl w:val="0"/>
          <w:numId w:val="1"/>
        </w:numPr>
        <w:spacing w:after="80"/>
      </w:pPr>
      <w:r>
        <w:t xml:space="preserve">Schémas versionnés pour les formats d'échange.</w:t>
      </w:r>
    </w:p>
    <w:p>
      <w:pPr>
        <w:pStyle w:val="ListParagraph"/>
        <w:numPr>
          <w:ilvl w:val="0"/>
          <w:numId w:val="1"/>
        </w:numPr>
        <w:spacing w:after="80"/>
      </w:pPr>
      <w:r>
        <w:t xml:space="preserve">API documentée (OpenAPI à formaliser).</w:t>
      </w:r>
    </w:p>
    <w:p>
      <w:pPr>
        <w:pStyle w:val="ListParagraph"/>
        <w:numPr>
          <w:ilvl w:val="0"/>
          <w:numId w:val="1"/>
        </w:numPr>
        <w:spacing w:after="80"/>
      </w:pPr>
      <w:r>
        <w:t xml:space="preserve">Métadonnées sur la méthode de vote, sa version et ses paramètres, systématiquement exportées avec les résultats.</w:t>
      </w:r>
    </w:p>
    <w:p>
      <w:pPr>
        <w:spacing w:after="160"/>
        <w:jc w:val="left"/>
      </w:pPr>
      <w:r>
        <w:rPr>
          <w:b w:val="false"/>
          <w:bCs w:val="false"/>
          <w:i w:val="false"/>
          <w:iCs w:val="false"/>
        </w:rPr>
        <w:t xml:space="preserve">Le NIST Election Results Common Data Format fournit une référence utile : son modèle couvre des informations de configuration pré-électorale et de résultats, avec modèles UML et schémas XML/JSON. Il sera étudié pour identifier les concepts réutilisables sans imposer un modèle conçu pour un autre contexte national.</w:t>
      </w:r>
    </w:p>
    <w:p>
      <w:pPr>
        <w:pStyle w:val="Heading1"/>
        <w:spacing w:after="200" w:before="400"/>
      </w:pPr>
      <w:r>
        <w:t xml:space="preserve">15. Périmètre MVP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EAF1F8" w:val="clear"/>
            <w:tcMar>
              <w:top w:type="dxa" w:w="80"/>
              <w:left w:type="dxa" w:w="100"/>
              <w:bottom w:type="dxa" w:w="80"/>
              <w:right w:type="dxa" w:w="100"/>
            </w:tcMar>
          </w:tcPr>
          <w:p>
            <w:r>
              <w:rPr>
                <w:b/>
                <w:bCs/>
                <w:sz w:val="20"/>
                <w:szCs w:val="20"/>
              </w:rPr>
              <w:t xml:space="preserve">Bloc</w:t>
            </w:r>
          </w:p>
        </w:tc>
        <w:tc>
          <w:tcPr>
            <w:tcW w:type="dxa" w:w="6500"/>
            <w:shd w:fill="EAF1F8" w:val="clear"/>
            <w:tcMar>
              <w:top w:type="dxa" w:w="80"/>
              <w:left w:type="dxa" w:w="100"/>
              <w:bottom w:type="dxa" w:w="80"/>
              <w:right w:type="dxa" w:w="100"/>
            </w:tcMar>
          </w:tcPr>
          <w:p>
            <w:r>
              <w:rPr>
                <w:b/>
                <w:bCs/>
                <w:sz w:val="20"/>
                <w:szCs w:val="20"/>
              </w:rPr>
              <w:t xml:space="preserve">MVP</w:t>
            </w:r>
          </w:p>
        </w:tc>
      </w:tr>
      <w:tr>
        <w:tc>
          <w:tcPr>
            <w:tcW w:type="dxa" w:w="2500"/>
            <w:tcMar>
              <w:top w:type="dxa" w:w="80"/>
              <w:left w:type="dxa" w:w="100"/>
              <w:bottom w:type="dxa" w:w="80"/>
              <w:right w:type="dxa" w:w="100"/>
            </w:tcMar>
          </w:tcPr>
          <w:p>
            <w:r>
              <w:rPr>
                <w:b w:val="false"/>
                <w:bCs w:val="false"/>
                <w:sz w:val="20"/>
                <w:szCs w:val="20"/>
              </w:rPr>
              <w:t xml:space="preserve">Comptes</w:t>
            </w:r>
          </w:p>
        </w:tc>
        <w:tc>
          <w:tcPr>
            <w:tcW w:type="dxa" w:w="6500"/>
            <w:tcMar>
              <w:top w:type="dxa" w:w="80"/>
              <w:left w:type="dxa" w:w="100"/>
              <w:bottom w:type="dxa" w:w="80"/>
              <w:right w:type="dxa" w:w="100"/>
            </w:tcMar>
          </w:tcPr>
          <w:p>
            <w:r>
              <w:rPr>
                <w:b w:val="false"/>
                <w:bCs w:val="false"/>
                <w:sz w:val="20"/>
                <w:szCs w:val="20"/>
              </w:rPr>
              <w:t xml:space="preserve">Utilisateurs, organisations, rôles simples, profil de base</w:t>
            </w:r>
          </w:p>
        </w:tc>
      </w:tr>
      <w:tr>
        <w:tc>
          <w:tcPr>
            <w:tcW w:type="dxa" w:w="2500"/>
            <w:tcMar>
              <w:top w:type="dxa" w:w="80"/>
              <w:left w:type="dxa" w:w="100"/>
              <w:bottom w:type="dxa" w:w="80"/>
              <w:right w:type="dxa" w:w="100"/>
            </w:tcMar>
          </w:tcPr>
          <w:p>
            <w:r>
              <w:rPr>
                <w:b w:val="false"/>
                <w:bCs w:val="false"/>
                <w:sz w:val="20"/>
                <w:szCs w:val="20"/>
              </w:rPr>
              <w:t xml:space="preserve">Campagnes</w:t>
            </w:r>
          </w:p>
        </w:tc>
        <w:tc>
          <w:tcPr>
            <w:tcW w:type="dxa" w:w="6500"/>
            <w:tcMar>
              <w:top w:type="dxa" w:w="80"/>
              <w:left w:type="dxa" w:w="100"/>
              <w:bottom w:type="dxa" w:w="80"/>
              <w:right w:type="dxa" w:w="100"/>
            </w:tcMar>
          </w:tcPr>
          <w:p>
            <w:r>
              <w:rPr>
                <w:b w:val="false"/>
                <w:bCs w:val="false"/>
                <w:sz w:val="20"/>
                <w:szCs w:val="20"/>
              </w:rPr>
              <w:t xml:space="preserve">Créer, modifier, publier, clôturer</w:t>
            </w:r>
          </w:p>
        </w:tc>
      </w:tr>
      <w:tr>
        <w:tc>
          <w:tcPr>
            <w:tcW w:type="dxa" w:w="2500"/>
            <w:tcMar>
              <w:top w:type="dxa" w:w="80"/>
              <w:left w:type="dxa" w:w="100"/>
              <w:bottom w:type="dxa" w:w="80"/>
              <w:right w:type="dxa" w:w="100"/>
            </w:tcMar>
          </w:tcPr>
          <w:p>
            <w:r>
              <w:rPr>
                <w:b w:val="false"/>
                <w:bCs w:val="false"/>
                <w:sz w:val="20"/>
                <w:szCs w:val="20"/>
              </w:rPr>
              <w:t xml:space="preserve">Questions</w:t>
            </w:r>
          </w:p>
        </w:tc>
        <w:tc>
          <w:tcPr>
            <w:tcW w:type="dxa" w:w="6500"/>
            <w:tcMar>
              <w:top w:type="dxa" w:w="80"/>
              <w:left w:type="dxa" w:w="100"/>
              <w:bottom w:type="dxa" w:w="80"/>
              <w:right w:type="dxa" w:w="100"/>
            </w:tcMar>
          </w:tcPr>
          <w:p>
            <w:r>
              <w:rPr>
                <w:b w:val="false"/>
                <w:bCs w:val="false"/>
                <w:sz w:val="20"/>
                <w:szCs w:val="20"/>
              </w:rPr>
              <w:t xml:space="preserve">Choix unique, multiple, texte, nombre, échelle, classement</w:t>
            </w:r>
          </w:p>
        </w:tc>
      </w:tr>
      <w:tr>
        <w:tc>
          <w:tcPr>
            <w:tcW w:type="dxa" w:w="2500"/>
            <w:tcMar>
              <w:top w:type="dxa" w:w="80"/>
              <w:left w:type="dxa" w:w="100"/>
              <w:bottom w:type="dxa" w:w="80"/>
              <w:right w:type="dxa" w:w="100"/>
            </w:tcMar>
          </w:tcPr>
          <w:p>
            <w:r>
              <w:rPr>
                <w:b w:val="false"/>
                <w:bCs w:val="false"/>
                <w:sz w:val="20"/>
                <w:szCs w:val="20"/>
              </w:rPr>
              <w:t xml:space="preserve">Logique</w:t>
            </w:r>
          </w:p>
        </w:tc>
        <w:tc>
          <w:tcPr>
            <w:tcW w:type="dxa" w:w="6500"/>
            <w:tcMar>
              <w:top w:type="dxa" w:w="80"/>
              <w:left w:type="dxa" w:w="100"/>
              <w:bottom w:type="dxa" w:w="80"/>
              <w:right w:type="dxa" w:w="100"/>
            </w:tcMar>
          </w:tcPr>
          <w:p>
            <w:r>
              <w:rPr>
                <w:b w:val="false"/>
                <w:bCs w:val="false"/>
                <w:sz w:val="20"/>
                <w:szCs w:val="20"/>
              </w:rPr>
              <w:t xml:space="preserve">Obligatoire, visibilité conditionnelle simple</w:t>
            </w:r>
          </w:p>
        </w:tc>
      </w:tr>
      <w:tr>
        <w:tc>
          <w:tcPr>
            <w:tcW w:type="dxa" w:w="2500"/>
            <w:tcMar>
              <w:top w:type="dxa" w:w="80"/>
              <w:left w:type="dxa" w:w="100"/>
              <w:bottom w:type="dxa" w:w="80"/>
              <w:right w:type="dxa" w:w="100"/>
            </w:tcMar>
          </w:tcPr>
          <w:p>
            <w:r>
              <w:rPr>
                <w:b w:val="false"/>
                <w:bCs w:val="false"/>
                <w:sz w:val="20"/>
                <w:szCs w:val="20"/>
              </w:rPr>
              <w:t xml:space="preserve">Scrutins</w:t>
            </w:r>
          </w:p>
        </w:tc>
        <w:tc>
          <w:tcPr>
            <w:tcW w:type="dxa" w:w="6500"/>
            <w:tcMar>
              <w:top w:type="dxa" w:w="80"/>
              <w:left w:type="dxa" w:w="100"/>
              <w:bottom w:type="dxa" w:w="80"/>
              <w:right w:type="dxa" w:w="100"/>
            </w:tcMar>
          </w:tcPr>
          <w:p>
            <w:r>
              <w:rPr>
                <w:b w:val="false"/>
                <w:bCs w:val="false"/>
                <w:sz w:val="20"/>
                <w:szCs w:val="20"/>
              </w:rPr>
              <w:t xml:space="preserve">Comptage simple, majorité simple, quorum</w:t>
            </w:r>
          </w:p>
        </w:tc>
      </w:tr>
      <w:tr>
        <w:tc>
          <w:tcPr>
            <w:tcW w:type="dxa" w:w="2500"/>
            <w:tcMar>
              <w:top w:type="dxa" w:w="80"/>
              <w:left w:type="dxa" w:w="100"/>
              <w:bottom w:type="dxa" w:w="80"/>
              <w:right w:type="dxa" w:w="100"/>
            </w:tcMar>
          </w:tcPr>
          <w:p>
            <w:r>
              <w:rPr>
                <w:b w:val="false"/>
                <w:bCs w:val="false"/>
                <w:sz w:val="20"/>
                <w:szCs w:val="20"/>
              </w:rPr>
              <w:t xml:space="preserve">Participation</w:t>
            </w:r>
          </w:p>
        </w:tc>
        <w:tc>
          <w:tcPr>
            <w:tcW w:type="dxa" w:w="6500"/>
            <w:tcMar>
              <w:top w:type="dxa" w:w="80"/>
              <w:left w:type="dxa" w:w="100"/>
              <w:bottom w:type="dxa" w:w="80"/>
              <w:right w:type="dxa" w:w="100"/>
            </w:tcMar>
          </w:tcPr>
          <w:p>
            <w:r>
              <w:rPr>
                <w:b w:val="false"/>
                <w:bCs w:val="false"/>
                <w:sz w:val="20"/>
                <w:szCs w:val="20"/>
              </w:rPr>
              <w:t xml:space="preserve">Lien public, authentification optionnelle selon campagne</w:t>
            </w:r>
          </w:p>
        </w:tc>
      </w:tr>
      <w:tr>
        <w:tc>
          <w:tcPr>
            <w:tcW w:type="dxa" w:w="2500"/>
            <w:tcMar>
              <w:top w:type="dxa" w:w="80"/>
              <w:left w:type="dxa" w:w="100"/>
              <w:bottom w:type="dxa" w:w="80"/>
              <w:right w:type="dxa" w:w="100"/>
            </w:tcMar>
          </w:tcPr>
          <w:p>
            <w:r>
              <w:rPr>
                <w:b w:val="false"/>
                <w:bCs w:val="false"/>
                <w:sz w:val="20"/>
                <w:szCs w:val="20"/>
              </w:rPr>
              <w:t xml:space="preserve">Résultats</w:t>
            </w:r>
          </w:p>
        </w:tc>
        <w:tc>
          <w:tcPr>
            <w:tcW w:type="dxa" w:w="6500"/>
            <w:tcMar>
              <w:top w:type="dxa" w:w="80"/>
              <w:left w:type="dxa" w:w="100"/>
              <w:bottom w:type="dxa" w:w="80"/>
              <w:right w:type="dxa" w:w="100"/>
            </w:tcMar>
          </w:tcPr>
          <w:p>
            <w:r>
              <w:rPr>
                <w:b w:val="false"/>
                <w:bCs w:val="false"/>
                <w:sz w:val="20"/>
                <w:szCs w:val="20"/>
              </w:rPr>
              <w:t xml:space="preserve">Barres, donut, tableaux, participation</w:t>
            </w:r>
          </w:p>
        </w:tc>
      </w:tr>
      <w:tr>
        <w:tc>
          <w:tcPr>
            <w:tcW w:type="dxa" w:w="2500"/>
            <w:tcMar>
              <w:top w:type="dxa" w:w="80"/>
              <w:left w:type="dxa" w:w="100"/>
              <w:bottom w:type="dxa" w:w="80"/>
              <w:right w:type="dxa" w:w="100"/>
            </w:tcMar>
          </w:tcPr>
          <w:p>
            <w:r>
              <w:rPr>
                <w:b w:val="false"/>
                <w:bCs w:val="false"/>
                <w:sz w:val="20"/>
                <w:szCs w:val="20"/>
              </w:rPr>
              <w:t xml:space="preserve">Exports</w:t>
            </w:r>
          </w:p>
        </w:tc>
        <w:tc>
          <w:tcPr>
            <w:tcW w:type="dxa" w:w="6500"/>
            <w:tcMar>
              <w:top w:type="dxa" w:w="80"/>
              <w:left w:type="dxa" w:w="100"/>
              <w:bottom w:type="dxa" w:w="80"/>
              <w:right w:type="dxa" w:w="100"/>
            </w:tcMar>
          </w:tcPr>
          <w:p>
            <w:r>
              <w:rPr>
                <w:b w:val="false"/>
                <w:bCs w:val="false"/>
                <w:sz w:val="20"/>
                <w:szCs w:val="20"/>
              </w:rPr>
              <w:t xml:space="preserve">CSV + JSON</w:t>
            </w:r>
          </w:p>
        </w:tc>
      </w:tr>
      <w:tr>
        <w:tc>
          <w:tcPr>
            <w:tcW w:type="dxa" w:w="2500"/>
            <w:tcMar>
              <w:top w:type="dxa" w:w="80"/>
              <w:left w:type="dxa" w:w="100"/>
              <w:bottom w:type="dxa" w:w="80"/>
              <w:right w:type="dxa" w:w="100"/>
            </w:tcMar>
          </w:tcPr>
          <w:p>
            <w:r>
              <w:rPr>
                <w:b w:val="false"/>
                <w:bCs w:val="false"/>
                <w:sz w:val="20"/>
                <w:szCs w:val="20"/>
              </w:rPr>
              <w:t xml:space="preserve">Audit</w:t>
            </w:r>
          </w:p>
        </w:tc>
        <w:tc>
          <w:tcPr>
            <w:tcW w:type="dxa" w:w="6500"/>
            <w:tcMar>
              <w:top w:type="dxa" w:w="80"/>
              <w:left w:type="dxa" w:w="100"/>
              <w:bottom w:type="dxa" w:w="80"/>
              <w:right w:type="dxa" w:w="100"/>
            </w:tcMar>
          </w:tcPr>
          <w:p>
            <w:r>
              <w:rPr>
                <w:b w:val="false"/>
                <w:bCs w:val="false"/>
                <w:sz w:val="20"/>
                <w:szCs w:val="20"/>
              </w:rPr>
              <w:t xml:space="preserve">Journal des actions administratives</w:t>
            </w:r>
          </w:p>
        </w:tc>
      </w:tr>
      <w:tr>
        <w:tc>
          <w:tcPr>
            <w:tcW w:type="dxa" w:w="2500"/>
            <w:tcMar>
              <w:top w:type="dxa" w:w="80"/>
              <w:left w:type="dxa" w:w="100"/>
              <w:bottom w:type="dxa" w:w="80"/>
              <w:right w:type="dxa" w:w="100"/>
            </w:tcMar>
          </w:tcPr>
          <w:p>
            <w:r>
              <w:rPr>
                <w:b w:val="false"/>
                <w:bCs w:val="false"/>
                <w:sz w:val="20"/>
                <w:szCs w:val="20"/>
              </w:rPr>
              <w:t xml:space="preserve">Multilingue</w:t>
            </w:r>
          </w:p>
        </w:tc>
        <w:tc>
          <w:tcPr>
            <w:tcW w:type="dxa" w:w="6500"/>
            <w:tcMar>
              <w:top w:type="dxa" w:w="80"/>
              <w:left w:type="dxa" w:w="100"/>
              <w:bottom w:type="dxa" w:w="80"/>
              <w:right w:type="dxa" w:w="100"/>
            </w:tcMar>
          </w:tcPr>
          <w:p>
            <w:r>
              <w:rPr>
                <w:b w:val="false"/>
                <w:bCs w:val="false"/>
                <w:sz w:val="20"/>
                <w:szCs w:val="20"/>
              </w:rPr>
              <w:t xml:space="preserve">Français + architecture i18n</w:t>
            </w:r>
          </w:p>
        </w:tc>
      </w:tr>
      <w:tr>
        <w:tc>
          <w:tcPr>
            <w:tcW w:type="dxa" w:w="2500"/>
            <w:tcMar>
              <w:top w:type="dxa" w:w="80"/>
              <w:left w:type="dxa" w:w="100"/>
              <w:bottom w:type="dxa" w:w="80"/>
              <w:right w:type="dxa" w:w="100"/>
            </w:tcMar>
          </w:tcPr>
          <w:p>
            <w:r>
              <w:rPr>
                <w:b w:val="false"/>
                <w:bCs w:val="false"/>
                <w:sz w:val="20"/>
                <w:szCs w:val="20"/>
              </w:rPr>
              <w:t xml:space="preserve">Déploiement</w:t>
            </w:r>
          </w:p>
        </w:tc>
        <w:tc>
          <w:tcPr>
            <w:tcW w:type="dxa" w:w="6500"/>
            <w:tcMar>
              <w:top w:type="dxa" w:w="80"/>
              <w:left w:type="dxa" w:w="100"/>
              <w:bottom w:type="dxa" w:w="80"/>
              <w:right w:type="dxa" w:w="100"/>
            </w:tcMar>
          </w:tcPr>
          <w:p>
            <w:r>
              <w:rPr>
                <w:b w:val="false"/>
                <w:bCs w:val="false"/>
                <w:sz w:val="20"/>
                <w:szCs w:val="20"/>
              </w:rPr>
              <w:t xml:space="preserve">Serveur + conteneur</w:t>
            </w:r>
          </w:p>
        </w:tc>
      </w:tr>
    </w:tbl>
    <w:p>
      <w:pPr>
        <w:pStyle w:val="Heading2"/>
        <w:spacing w:after="150" w:before="300"/>
      </w:pPr>
      <w:r>
        <w:t xml:space="preserve">15.1 Hors MVP mais prévus dans l'architecture</w:t>
      </w:r>
    </w:p>
    <w:p>
      <w:pPr>
        <w:pStyle w:val="ListParagraph"/>
        <w:numPr>
          <w:ilvl w:val="0"/>
          <w:numId w:val="1"/>
        </w:numPr>
        <w:spacing w:after="80"/>
      </w:pPr>
      <w:r>
        <w:t xml:space="preserve">Vote préférentiel avancé, Condorcet/Schulze, STV, jugement majoritaire.</w:t>
      </w:r>
    </w:p>
    <w:p>
      <w:pPr>
        <w:pStyle w:val="ListParagraph"/>
        <w:numPr>
          <w:ilvl w:val="0"/>
          <w:numId w:val="1"/>
        </w:numPr>
        <w:spacing w:after="80"/>
      </w:pPr>
      <w:r>
        <w:t xml:space="preserve">Cryptographie de vote et vérifiabilité avancée (inspirée de Belenios/Helios).</w:t>
      </w:r>
    </w:p>
    <w:p>
      <w:pPr>
        <w:pStyle w:val="ListParagraph"/>
        <w:numPr>
          <w:ilvl w:val="0"/>
          <w:numId w:val="1"/>
        </w:numPr>
        <w:spacing w:after="80"/>
      </w:pPr>
      <w:r>
        <w:t xml:space="preserve">Registre de modules communautaires (chargement WASM).</w:t>
      </w:r>
    </w:p>
    <w:p>
      <w:pPr>
        <w:pStyle w:val="ListParagraph"/>
        <w:numPr>
          <w:ilvl w:val="0"/>
          <w:numId w:val="1"/>
        </w:numPr>
        <w:spacing w:after="80"/>
      </w:pPr>
      <w:r>
        <w:t xml:space="preserve">Analyses statistiques avancées et tableaux de bord temps réel (ECharts).</w:t>
      </w:r>
    </w:p>
    <w:p>
      <w:pPr>
        <w:pStyle w:val="ListParagraph"/>
        <w:numPr>
          <w:ilvl w:val="0"/>
          <w:numId w:val="1"/>
        </w:numPr>
        <w:spacing w:after="80"/>
      </w:pPr>
      <w:r>
        <w:t xml:space="preserve">Fédération multi-instances.</w:t>
      </w:r>
    </w:p>
    <w:p>
      <w:pPr>
        <w:pStyle w:val="ListParagraph"/>
        <w:numPr>
          <w:ilvl w:val="0"/>
          <w:numId w:val="1"/>
        </w:numPr>
        <w:spacing w:after="80"/>
      </w:pPr>
      <w:r>
        <w:t xml:space="preserve">Mode hors ligne complet.</w:t>
      </w:r>
    </w:p>
    <w:p>
      <w:pPr>
        <w:pStyle w:val="Heading1"/>
        <w:spacing w:after="200" w:before="400"/>
      </w:pPr>
      <w:r>
        <w:t xml:space="preserve">16. Roadmap indicative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EAF1F8" w:val="clear"/>
            <w:tcMar>
              <w:top w:type="dxa" w:w="80"/>
              <w:left w:type="dxa" w:w="100"/>
              <w:bottom w:type="dxa" w:w="80"/>
              <w:right w:type="dxa" w:w="100"/>
            </w:tcMar>
          </w:tcPr>
          <w:p>
            <w:r>
              <w:rPr>
                <w:b/>
                <w:bCs/>
                <w:sz w:val="20"/>
                <w:szCs w:val="20"/>
              </w:rPr>
              <w:t xml:space="preserve">Phase</w:t>
            </w:r>
          </w:p>
        </w:tc>
        <w:tc>
          <w:tcPr>
            <w:tcW w:type="dxa" w:w="3200"/>
            <w:shd w:fill="EAF1F8" w:val="clear"/>
            <w:tcMar>
              <w:top w:type="dxa" w:w="80"/>
              <w:left w:type="dxa" w:w="100"/>
              <w:bottom w:type="dxa" w:w="80"/>
              <w:right w:type="dxa" w:w="100"/>
            </w:tcMar>
          </w:tcPr>
          <w:p>
            <w:r>
              <w:rPr>
                <w:b/>
                <w:bCs/>
                <w:sz w:val="20"/>
                <w:szCs w:val="20"/>
              </w:rPr>
              <w:t xml:space="preserve">Objectif</w:t>
            </w:r>
          </w:p>
        </w:tc>
        <w:tc>
          <w:tcPr>
            <w:tcW w:type="dxa" w:w="3600"/>
            <w:shd w:fill="EAF1F8" w:val="clear"/>
            <w:tcMar>
              <w:top w:type="dxa" w:w="80"/>
              <w:left w:type="dxa" w:w="100"/>
              <w:bottom w:type="dxa" w:w="80"/>
              <w:right w:type="dxa" w:w="100"/>
            </w:tcMar>
          </w:tcPr>
          <w:p>
            <w:r>
              <w:rPr>
                <w:b/>
                <w:bCs/>
                <w:sz w:val="20"/>
                <w:szCs w:val="20"/>
              </w:rPr>
              <w:t xml:space="preserve">Livrables</w:t>
            </w:r>
          </w:p>
        </w:tc>
      </w:tr>
      <w:tr>
        <w:tc>
          <w:tcPr>
            <w:tcW w:type="dxa" w:w="2200"/>
            <w:tcMar>
              <w:top w:type="dxa" w:w="80"/>
              <w:left w:type="dxa" w:w="100"/>
              <w:bottom w:type="dxa" w:w="80"/>
              <w:right w:type="dxa" w:w="100"/>
            </w:tcMar>
          </w:tcPr>
          <w:p>
            <w:r>
              <w:rPr>
                <w:b w:val="false"/>
                <w:bCs w:val="false"/>
                <w:sz w:val="20"/>
                <w:szCs w:val="20"/>
              </w:rPr>
              <w:t xml:space="preserve">0 — Cadrage</w:t>
            </w:r>
          </w:p>
        </w:tc>
        <w:tc>
          <w:tcPr>
            <w:tcW w:type="dxa" w:w="3200"/>
            <w:tcMar>
              <w:top w:type="dxa" w:w="80"/>
              <w:left w:type="dxa" w:w="100"/>
              <w:bottom w:type="dxa" w:w="80"/>
              <w:right w:type="dxa" w:w="100"/>
            </w:tcMar>
          </w:tcPr>
          <w:p>
            <w:r>
              <w:rPr>
                <w:b w:val="false"/>
                <w:bCs w:val="false"/>
                <w:sz w:val="20"/>
                <w:szCs w:val="20"/>
              </w:rPr>
              <w:t xml:space="preserve">Valider modèle et exigences</w:t>
            </w:r>
          </w:p>
        </w:tc>
        <w:tc>
          <w:tcPr>
            <w:tcW w:type="dxa" w:w="3600"/>
            <w:tcMar>
              <w:top w:type="dxa" w:w="80"/>
              <w:left w:type="dxa" w:w="100"/>
              <w:bottom w:type="dxa" w:w="80"/>
              <w:right w:type="dxa" w:w="100"/>
            </w:tcMar>
          </w:tcPr>
          <w:p>
            <w:r>
              <w:rPr>
                <w:b w:val="false"/>
                <w:bCs w:val="false"/>
                <w:sz w:val="20"/>
                <w:szCs w:val="20"/>
              </w:rPr>
              <w:t xml:space="preserve">Cahier des charges, modèle de données, design system</w:t>
            </w:r>
          </w:p>
        </w:tc>
      </w:tr>
      <w:tr>
        <w:tc>
          <w:tcPr>
            <w:tcW w:type="dxa" w:w="2200"/>
            <w:tcMar>
              <w:top w:type="dxa" w:w="80"/>
              <w:left w:type="dxa" w:w="100"/>
              <w:bottom w:type="dxa" w:w="80"/>
              <w:right w:type="dxa" w:w="100"/>
            </w:tcMar>
          </w:tcPr>
          <w:p>
            <w:r>
              <w:rPr>
                <w:b w:val="false"/>
                <w:bCs w:val="false"/>
                <w:sz w:val="20"/>
                <w:szCs w:val="20"/>
              </w:rPr>
              <w:t xml:space="preserve">1 — Prototype UX</w:t>
            </w:r>
          </w:p>
        </w:tc>
        <w:tc>
          <w:tcPr>
            <w:tcW w:type="dxa" w:w="3200"/>
            <w:tcMar>
              <w:top w:type="dxa" w:w="80"/>
              <w:left w:type="dxa" w:w="100"/>
              <w:bottom w:type="dxa" w:w="80"/>
              <w:right w:type="dxa" w:w="100"/>
            </w:tcMar>
          </w:tcPr>
          <w:p>
            <w:r>
              <w:rPr>
                <w:b w:val="false"/>
                <w:bCs w:val="false"/>
                <w:sz w:val="20"/>
                <w:szCs w:val="20"/>
              </w:rPr>
              <w:t xml:space="preserve">Valider les parcours</w:t>
            </w:r>
          </w:p>
        </w:tc>
        <w:tc>
          <w:tcPr>
            <w:tcW w:type="dxa" w:w="3600"/>
            <w:tcMar>
              <w:top w:type="dxa" w:w="80"/>
              <w:left w:type="dxa" w:w="100"/>
              <w:bottom w:type="dxa" w:w="80"/>
              <w:right w:type="dxa" w:w="100"/>
            </w:tcMar>
          </w:tcPr>
          <w:p>
            <w:r>
              <w:rPr>
                <w:b w:val="false"/>
                <w:bCs w:val="false"/>
                <w:sz w:val="20"/>
                <w:szCs w:val="20"/>
              </w:rPr>
              <w:t xml:space="preserve">Maquettes détaillées, prototype cliquable, annexe UX</w:t>
            </w:r>
          </w:p>
        </w:tc>
      </w:tr>
      <w:tr>
        <w:tc>
          <w:tcPr>
            <w:tcW w:type="dxa" w:w="2200"/>
            <w:tcMar>
              <w:top w:type="dxa" w:w="80"/>
              <w:left w:type="dxa" w:w="100"/>
              <w:bottom w:type="dxa" w:w="80"/>
              <w:right w:type="dxa" w:w="100"/>
            </w:tcMar>
          </w:tcPr>
          <w:p>
            <w:r>
              <w:rPr>
                <w:b w:val="false"/>
                <w:bCs w:val="false"/>
                <w:sz w:val="20"/>
                <w:szCs w:val="20"/>
              </w:rPr>
              <w:t xml:space="preserve">2 — MVP</w:t>
            </w:r>
          </w:p>
        </w:tc>
        <w:tc>
          <w:tcPr>
            <w:tcW w:type="dxa" w:w="3200"/>
            <w:tcMar>
              <w:top w:type="dxa" w:w="80"/>
              <w:left w:type="dxa" w:w="100"/>
              <w:bottom w:type="dxa" w:w="80"/>
              <w:right w:type="dxa" w:w="100"/>
            </w:tcMar>
          </w:tcPr>
          <w:p>
            <w:r>
              <w:rPr>
                <w:b w:val="false"/>
                <w:bCs w:val="false"/>
                <w:sz w:val="20"/>
                <w:szCs w:val="20"/>
              </w:rPr>
              <w:t xml:space="preserve">Rendre le produit utilisable</w:t>
            </w:r>
          </w:p>
        </w:tc>
        <w:tc>
          <w:tcPr>
            <w:tcW w:type="dxa" w:w="3600"/>
            <w:tcMar>
              <w:top w:type="dxa" w:w="80"/>
              <w:left w:type="dxa" w:w="100"/>
              <w:bottom w:type="dxa" w:w="80"/>
              <w:right w:type="dxa" w:w="100"/>
            </w:tcMar>
          </w:tcPr>
          <w:p>
            <w:r>
              <w:rPr>
                <w:b w:val="false"/>
                <w:bCs w:val="false"/>
                <w:sz w:val="20"/>
                <w:szCs w:val="20"/>
              </w:rPr>
              <w:t xml:space="preserve">Core Rust, web, campagnes, votes simples, résultats</w:t>
            </w:r>
          </w:p>
        </w:tc>
      </w:tr>
      <w:tr>
        <w:tc>
          <w:tcPr>
            <w:tcW w:type="dxa" w:w="2200"/>
            <w:tcMar>
              <w:top w:type="dxa" w:w="80"/>
              <w:left w:type="dxa" w:w="100"/>
              <w:bottom w:type="dxa" w:w="80"/>
              <w:right w:type="dxa" w:w="100"/>
            </w:tcMar>
          </w:tcPr>
          <w:p>
            <w:r>
              <w:rPr>
                <w:b w:val="false"/>
                <w:bCs w:val="false"/>
                <w:sz w:val="20"/>
                <w:szCs w:val="20"/>
              </w:rPr>
              <w:t xml:space="preserve">3 — Robustesse</w:t>
            </w:r>
          </w:p>
        </w:tc>
        <w:tc>
          <w:tcPr>
            <w:tcW w:type="dxa" w:w="3200"/>
            <w:tcMar>
              <w:top w:type="dxa" w:w="80"/>
              <w:left w:type="dxa" w:w="100"/>
              <w:bottom w:type="dxa" w:w="80"/>
              <w:right w:type="dxa" w:w="100"/>
            </w:tcMar>
          </w:tcPr>
          <w:p>
            <w:r>
              <w:rPr>
                <w:b w:val="false"/>
                <w:bCs w:val="false"/>
                <w:sz w:val="20"/>
                <w:szCs w:val="20"/>
              </w:rPr>
              <w:t xml:space="preserve">Production et auto-hébergement</w:t>
            </w:r>
          </w:p>
        </w:tc>
        <w:tc>
          <w:tcPr>
            <w:tcW w:type="dxa" w:w="3600"/>
            <w:tcMar>
              <w:top w:type="dxa" w:w="80"/>
              <w:left w:type="dxa" w:w="100"/>
              <w:bottom w:type="dxa" w:w="80"/>
              <w:right w:type="dxa" w:w="100"/>
            </w:tcMar>
          </w:tcPr>
          <w:p>
            <w:r>
              <w:rPr>
                <w:b w:val="false"/>
                <w:bCs w:val="false"/>
                <w:sz w:val="20"/>
                <w:szCs w:val="20"/>
              </w:rPr>
              <w:t xml:space="preserve">Sécurité, sauvegarde, audit, documentation</w:t>
            </w:r>
          </w:p>
        </w:tc>
      </w:tr>
      <w:tr>
        <w:tc>
          <w:tcPr>
            <w:tcW w:type="dxa" w:w="2200"/>
            <w:tcMar>
              <w:top w:type="dxa" w:w="80"/>
              <w:left w:type="dxa" w:w="100"/>
              <w:bottom w:type="dxa" w:w="80"/>
              <w:right w:type="dxa" w:w="100"/>
            </w:tcMar>
          </w:tcPr>
          <w:p>
            <w:r>
              <w:rPr>
                <w:b w:val="false"/>
                <w:bCs w:val="false"/>
                <w:sz w:val="20"/>
                <w:szCs w:val="20"/>
              </w:rPr>
              <w:t xml:space="preserve">4 — Démocratie avancée</w:t>
            </w:r>
          </w:p>
        </w:tc>
        <w:tc>
          <w:tcPr>
            <w:tcW w:type="dxa" w:w="3200"/>
            <w:tcMar>
              <w:top w:type="dxa" w:w="80"/>
              <w:left w:type="dxa" w:w="100"/>
              <w:bottom w:type="dxa" w:w="80"/>
              <w:right w:type="dxa" w:w="100"/>
            </w:tcMar>
          </w:tcPr>
          <w:p>
            <w:r>
              <w:rPr>
                <w:b w:val="false"/>
                <w:bCs w:val="false"/>
                <w:sz w:val="20"/>
                <w:szCs w:val="20"/>
              </w:rPr>
              <w:t xml:space="preserve">Méthodes et vérifiabilité</w:t>
            </w:r>
          </w:p>
        </w:tc>
        <w:tc>
          <w:tcPr>
            <w:tcW w:type="dxa" w:w="3600"/>
            <w:tcMar>
              <w:top w:type="dxa" w:w="80"/>
              <w:left w:type="dxa" w:w="100"/>
              <w:bottom w:type="dxa" w:w="80"/>
              <w:right w:type="dxa" w:w="100"/>
            </w:tcMar>
          </w:tcPr>
          <w:p>
            <w:r>
              <w:rPr>
                <w:b w:val="false"/>
                <w:bCs w:val="false"/>
                <w:sz w:val="20"/>
                <w:szCs w:val="20"/>
              </w:rPr>
              <w:t xml:space="preserve">Modules électoraux avancés, crypto, audit renforcé</w:t>
            </w:r>
          </w:p>
        </w:tc>
      </w:tr>
      <w:tr>
        <w:tc>
          <w:tcPr>
            <w:tcW w:type="dxa" w:w="2200"/>
            <w:tcMar>
              <w:top w:type="dxa" w:w="80"/>
              <w:left w:type="dxa" w:w="100"/>
              <w:bottom w:type="dxa" w:w="80"/>
              <w:right w:type="dxa" w:w="100"/>
            </w:tcMar>
          </w:tcPr>
          <w:p>
            <w:r>
              <w:rPr>
                <w:b w:val="false"/>
                <w:bCs w:val="false"/>
                <w:sz w:val="20"/>
                <w:szCs w:val="20"/>
              </w:rPr>
              <w:t xml:space="preserve">5 — Écosystème</w:t>
            </w:r>
          </w:p>
        </w:tc>
        <w:tc>
          <w:tcPr>
            <w:tcW w:type="dxa" w:w="3200"/>
            <w:tcMar>
              <w:top w:type="dxa" w:w="80"/>
              <w:left w:type="dxa" w:w="100"/>
              <w:bottom w:type="dxa" w:w="80"/>
              <w:right w:type="dxa" w:w="100"/>
            </w:tcMar>
          </w:tcPr>
          <w:p>
            <w:r>
              <w:rPr>
                <w:b w:val="false"/>
                <w:bCs w:val="false"/>
                <w:sz w:val="20"/>
                <w:szCs w:val="20"/>
              </w:rPr>
              <w:t xml:space="preserve">Ouvrir la plateforme</w:t>
            </w:r>
          </w:p>
        </w:tc>
        <w:tc>
          <w:tcPr>
            <w:tcW w:type="dxa" w:w="3600"/>
            <w:tcMar>
              <w:top w:type="dxa" w:w="80"/>
              <w:left w:type="dxa" w:w="100"/>
              <w:bottom w:type="dxa" w:w="80"/>
              <w:right w:type="dxa" w:w="100"/>
            </w:tcMar>
          </w:tcPr>
          <w:p>
            <w:r>
              <w:rPr>
                <w:b w:val="false"/>
                <w:bCs w:val="false"/>
                <w:sz w:val="20"/>
                <w:szCs w:val="20"/>
              </w:rPr>
              <w:t xml:space="preserve">SDK modules WASM, registre, contributions communautaires</w:t>
            </w:r>
          </w:p>
        </w:tc>
      </w:tr>
    </w:tbl>
    <w:p>
      <w:pPr>
        <w:pStyle w:val="Heading1"/>
        <w:spacing w:after="200" w:before="400"/>
      </w:pPr>
      <w:r>
        <w:t xml:space="preserve">17. Logiciel libre et gouvernance</w:t>
      </w:r>
    </w:p>
    <w:p>
      <w:pPr>
        <w:spacing w:after="160"/>
        <w:jc w:val="left"/>
      </w:pPr>
      <w:r>
        <w:rPr>
          <w:b w:val="false"/>
          <w:bCs w:val="false"/>
          <w:i w:val="false"/>
          <w:iCs w:val="false"/>
        </w:rPr>
        <w:t xml:space="preserve">La dimension libre doit être conçue comme une caractéristique du projet et non comme une simple licence apposée à la fin. Le dépôt, les spécifications, les formats d'export, la documentation des algorithmes et les tests doivent être accessibles.</w:t>
      </w:r>
    </w:p>
    <w:p>
      <w:pPr>
        <w:pStyle w:val="ListParagraph"/>
        <w:numPr>
          <w:ilvl w:val="0"/>
          <w:numId w:val="1"/>
        </w:numPr>
        <w:spacing w:after="80"/>
      </w:pPr>
      <w:r>
        <w:t xml:space="preserve">Choisir une licence logicielle adaptée au modèle de gouvernance.</w:t>
      </w:r>
    </w:p>
    <w:p>
      <w:pPr>
        <w:pStyle w:val="ListParagraph"/>
        <w:numPr>
          <w:ilvl w:val="0"/>
          <w:numId w:val="1"/>
        </w:numPr>
        <w:spacing w:after="80"/>
      </w:pPr>
      <w:r>
        <w:t xml:space="preserve">Publier les spécifications de modules.</w:t>
      </w:r>
    </w:p>
    <w:p>
      <w:pPr>
        <w:pStyle w:val="ListParagraph"/>
        <w:numPr>
          <w:ilvl w:val="0"/>
          <w:numId w:val="1"/>
        </w:numPr>
        <w:spacing w:after="80"/>
      </w:pPr>
      <w:r>
        <w:t xml:space="preserve">Publier les algorithmes et tests de référence (jeux de bulletins connus, résultats attendus).</w:t>
      </w:r>
    </w:p>
    <w:p>
      <w:pPr>
        <w:pStyle w:val="ListParagraph"/>
        <w:numPr>
          <w:ilvl w:val="0"/>
          <w:numId w:val="1"/>
        </w:numPr>
        <w:spacing w:after="80"/>
      </w:pPr>
      <w:r>
        <w:t xml:space="preserve">Documenter les décisions d'architecture.</w:t>
      </w:r>
    </w:p>
    <w:p>
      <w:pPr>
        <w:pStyle w:val="ListParagraph"/>
        <w:numPr>
          <w:ilvl w:val="0"/>
          <w:numId w:val="1"/>
        </w:numPr>
        <w:spacing w:after="80"/>
      </w:pPr>
      <w:r>
        <w:t xml:space="preserve">Prévoir un mécanisme de contribution.</w:t>
      </w:r>
    </w:p>
    <w:p>
      <w:pPr>
        <w:pStyle w:val="ListParagraph"/>
        <w:numPr>
          <w:ilvl w:val="0"/>
          <w:numId w:val="1"/>
        </w:numPr>
        <w:spacing w:after="80"/>
      </w:pPr>
      <w:r>
        <w:t xml:space="preserve">Séparer les modules communautaires du noyau de confiance.</w:t>
      </w:r>
    </w:p>
    <w:p>
      <w:pPr>
        <w:pStyle w:val="Heading1"/>
        <w:spacing w:after="200" w:before="400"/>
      </w:pPr>
      <w:r>
        <w:t xml:space="preserve">18. Critères d'acceptation de haut niveau</w:t>
      </w:r>
    </w:p>
    <w:p>
      <w:pPr>
        <w:pStyle w:val="ListParagraph"/>
        <w:numPr>
          <w:ilvl w:val="0"/>
          <w:numId w:val="1"/>
        </w:numPr>
        <w:spacing w:after="80"/>
      </w:pPr>
      <w:r>
        <w:t xml:space="preserve">Un administrateur peut créer une campagne sans modifier du code.</w:t>
      </w:r>
    </w:p>
    <w:p>
      <w:pPr>
        <w:pStyle w:val="ListParagraph"/>
        <w:numPr>
          <w:ilvl w:val="0"/>
          <w:numId w:val="1"/>
        </w:numPr>
        <w:spacing w:after="80"/>
      </w:pPr>
      <w:r>
        <w:t xml:space="preserve">Un participant peut voter sur smartphone sans formation.</w:t>
      </w:r>
    </w:p>
    <w:p>
      <w:pPr>
        <w:pStyle w:val="ListParagraph"/>
        <w:numPr>
          <w:ilvl w:val="0"/>
          <w:numId w:val="1"/>
        </w:numPr>
        <w:spacing w:after="80"/>
      </w:pPr>
      <w:r>
        <w:t xml:space="preserve">La méthode de comptage utilisée est visible et versionnée.</w:t>
      </w:r>
    </w:p>
    <w:p>
      <w:pPr>
        <w:pStyle w:val="ListParagraph"/>
        <w:numPr>
          <w:ilvl w:val="0"/>
          <w:numId w:val="1"/>
        </w:numPr>
        <w:spacing w:after="80"/>
      </w:pPr>
      <w:r>
        <w:t xml:space="preserve">Le même résultat peut être affiché sous plusieurs formes.</w:t>
      </w:r>
    </w:p>
    <w:p>
      <w:pPr>
        <w:pStyle w:val="ListParagraph"/>
        <w:numPr>
          <w:ilvl w:val="0"/>
          <w:numId w:val="1"/>
        </w:numPr>
        <w:spacing w:after="80"/>
      </w:pPr>
      <w:r>
        <w:t xml:space="preserve">Les données peuvent être exportées sans dépendre du fournisseur.</w:t>
      </w:r>
    </w:p>
    <w:p>
      <w:pPr>
        <w:pStyle w:val="ListParagraph"/>
        <w:numPr>
          <w:ilvl w:val="0"/>
          <w:numId w:val="1"/>
        </w:numPr>
        <w:spacing w:after="80"/>
      </w:pPr>
      <w:r>
        <w:t xml:space="preserve">L'application peut être auto-hébergée.</w:t>
      </w:r>
    </w:p>
    <w:p>
      <w:pPr>
        <w:pStyle w:val="ListParagraph"/>
        <w:numPr>
          <w:ilvl w:val="0"/>
          <w:numId w:val="1"/>
        </w:numPr>
        <w:spacing w:after="80"/>
      </w:pPr>
      <w:r>
        <w:t xml:space="preserve">Une campagne peut être multilingue.</w:t>
      </w:r>
    </w:p>
    <w:p>
      <w:pPr>
        <w:pStyle w:val="ListParagraph"/>
        <w:numPr>
          <w:ilvl w:val="0"/>
          <w:numId w:val="1"/>
        </w:numPr>
        <w:spacing w:after="80"/>
      </w:pPr>
      <w:r>
        <w:t xml:space="preserve">Les erreurs de configuration critiques sont détectées avant publication.</w:t>
      </w:r>
    </w:p>
    <w:p>
      <w:pPr>
        <w:pStyle w:val="ListParagraph"/>
        <w:numPr>
          <w:ilvl w:val="0"/>
          <w:numId w:val="1"/>
        </w:numPr>
        <w:spacing w:after="80"/>
      </w:pPr>
      <w:r>
        <w:t xml:space="preserve">Les actions administratives importantes sont auditables.</w:t>
      </w:r>
    </w:p>
    <w:p>
      <w:pPr>
        <w:pStyle w:val="ListParagraph"/>
        <w:numPr>
          <w:ilvl w:val="0"/>
          <w:numId w:val="1"/>
        </w:numPr>
        <w:spacing w:after="80"/>
      </w:pPr>
      <w:r>
        <w:t xml:space="preserve">Les modules sont identifiables et versionnés, qu'ils soient natifs ou WASM.</w:t>
      </w:r>
    </w:p>
    <w:p>
      <w:pPr>
        <w:pStyle w:val="Heading1"/>
        <w:spacing w:after="200" w:before="400"/>
      </w:pPr>
      <w:r>
        <w:t xml:space="preserve">19. Glossaire de travail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AF1F8" w:val="clear"/>
            <w:tcMar>
              <w:top w:type="dxa" w:w="80"/>
              <w:left w:type="dxa" w:w="100"/>
              <w:bottom w:type="dxa" w:w="80"/>
              <w:right w:type="dxa" w:w="100"/>
            </w:tcMar>
          </w:tcPr>
          <w:p>
            <w:r>
              <w:rPr>
                <w:b/>
                <w:bCs/>
                <w:sz w:val="20"/>
                <w:szCs w:val="20"/>
              </w:rPr>
              <w:t xml:space="preserve">Terme</w:t>
            </w:r>
          </w:p>
        </w:tc>
        <w:tc>
          <w:tcPr>
            <w:tcW w:type="dxa" w:w="6000"/>
            <w:shd w:fill="EAF1F8" w:val="clear"/>
            <w:tcMar>
              <w:top w:type="dxa" w:w="80"/>
              <w:left w:type="dxa" w:w="100"/>
              <w:bottom w:type="dxa" w:w="80"/>
              <w:right w:type="dxa" w:w="100"/>
            </w:tcMar>
          </w:tcPr>
          <w:p>
            <w:r>
              <w:rPr>
                <w:b/>
                <w:bCs/>
                <w:sz w:val="20"/>
                <w:szCs w:val="20"/>
              </w:rPr>
              <w:t xml:space="preserve">Définition de travail</w:t>
            </w:r>
          </w:p>
        </w:tc>
      </w:tr>
      <w:tr>
        <w:tc>
          <w:tcPr>
            <w:tcW w:type="dxa" w:w="3000"/>
            <w:tcMar>
              <w:top w:type="dxa" w:w="80"/>
              <w:left w:type="dxa" w:w="100"/>
              <w:bottom w:type="dxa" w:w="80"/>
              <w:right w:type="dxa" w:w="100"/>
            </w:tcMar>
          </w:tcPr>
          <w:p>
            <w:r>
              <w:rPr>
                <w:b w:val="false"/>
                <w:bCs w:val="false"/>
                <w:sz w:val="20"/>
                <w:szCs w:val="20"/>
              </w:rPr>
              <w:t xml:space="preserve">Ballot / bulletin</w:t>
            </w:r>
          </w:p>
        </w:tc>
        <w:tc>
          <w:tcPr>
            <w:tcW w:type="dxa" w:w="6000"/>
            <w:tcMar>
              <w:top w:type="dxa" w:w="80"/>
              <w:left w:type="dxa" w:w="100"/>
              <w:bottom w:type="dxa" w:w="80"/>
              <w:right w:type="dxa" w:w="100"/>
            </w:tcMar>
          </w:tcPr>
          <w:p>
            <w:r>
              <w:rPr>
                <w:b w:val="false"/>
                <w:bCs w:val="false"/>
                <w:sz w:val="20"/>
                <w:szCs w:val="20"/>
              </w:rPr>
              <w:t xml:space="preserve">Ensemble des choix enregistrés pour une participation.</w:t>
            </w:r>
          </w:p>
        </w:tc>
      </w:tr>
      <w:tr>
        <w:tc>
          <w:tcPr>
            <w:tcW w:type="dxa" w:w="3000"/>
            <w:tcMar>
              <w:top w:type="dxa" w:w="80"/>
              <w:left w:type="dxa" w:w="100"/>
              <w:bottom w:type="dxa" w:w="80"/>
              <w:right w:type="dxa" w:w="100"/>
            </w:tcMar>
          </w:tcPr>
          <w:p>
            <w:r>
              <w:rPr>
                <w:b w:val="false"/>
                <w:bCs w:val="false"/>
                <w:sz w:val="20"/>
                <w:szCs w:val="20"/>
              </w:rPr>
              <w:t xml:space="preserve">Auditabilité</w:t>
            </w:r>
          </w:p>
        </w:tc>
        <w:tc>
          <w:tcPr>
            <w:tcW w:type="dxa" w:w="6000"/>
            <w:tcMar>
              <w:top w:type="dxa" w:w="80"/>
              <w:left w:type="dxa" w:w="100"/>
              <w:bottom w:type="dxa" w:w="80"/>
              <w:right w:type="dxa" w:w="100"/>
            </w:tcMar>
          </w:tcPr>
          <w:p>
            <w:r>
              <w:rPr>
                <w:b w:val="false"/>
                <w:bCs w:val="false"/>
                <w:sz w:val="20"/>
                <w:szCs w:val="20"/>
              </w:rPr>
              <w:t xml:space="preserve">Capacité à examiner les opérations et décisions du système.</w:t>
            </w:r>
          </w:p>
        </w:tc>
      </w:tr>
      <w:tr>
        <w:tc>
          <w:tcPr>
            <w:tcW w:type="dxa" w:w="3000"/>
            <w:tcMar>
              <w:top w:type="dxa" w:w="80"/>
              <w:left w:type="dxa" w:w="100"/>
              <w:bottom w:type="dxa" w:w="80"/>
              <w:right w:type="dxa" w:w="100"/>
            </w:tcMar>
          </w:tcPr>
          <w:p>
            <w:r>
              <w:rPr>
                <w:b w:val="false"/>
                <w:bCs w:val="false"/>
                <w:sz w:val="20"/>
                <w:szCs w:val="20"/>
              </w:rPr>
              <w:t xml:space="preserve">Vérifiabilité</w:t>
            </w:r>
          </w:p>
        </w:tc>
        <w:tc>
          <w:tcPr>
            <w:tcW w:type="dxa" w:w="6000"/>
            <w:tcMar>
              <w:top w:type="dxa" w:w="80"/>
              <w:left w:type="dxa" w:w="100"/>
              <w:bottom w:type="dxa" w:w="80"/>
              <w:right w:type="dxa" w:w="100"/>
            </w:tcMar>
          </w:tcPr>
          <w:p>
            <w:r>
              <w:rPr>
                <w:b w:val="false"/>
                <w:bCs w:val="false"/>
                <w:sz w:val="20"/>
                <w:szCs w:val="20"/>
              </w:rPr>
              <w:t xml:space="preserve">Capacité à apporter des garanties contrôlables sur l'enregistrement ou le dépouillement.</w:t>
            </w:r>
          </w:p>
        </w:tc>
      </w:tr>
      <w:tr>
        <w:tc>
          <w:tcPr>
            <w:tcW w:type="dxa" w:w="3000"/>
            <w:tcMar>
              <w:top w:type="dxa" w:w="80"/>
              <w:left w:type="dxa" w:w="100"/>
              <w:bottom w:type="dxa" w:w="80"/>
              <w:right w:type="dxa" w:w="100"/>
            </w:tcMar>
          </w:tcPr>
          <w:p>
            <w:r>
              <w:rPr>
                <w:b w:val="false"/>
                <w:bCs w:val="false"/>
                <w:sz w:val="20"/>
                <w:szCs w:val="20"/>
              </w:rPr>
              <w:t xml:space="preserve">Module natif</w:t>
            </w:r>
          </w:p>
        </w:tc>
        <w:tc>
          <w:tcPr>
            <w:tcW w:type="dxa" w:w="6000"/>
            <w:tcMar>
              <w:top w:type="dxa" w:w="80"/>
              <w:left w:type="dxa" w:w="100"/>
              <w:bottom w:type="dxa" w:w="80"/>
              <w:right w:type="dxa" w:w="100"/>
            </w:tcMar>
          </w:tcPr>
          <w:p>
            <w:r>
              <w:rPr>
                <w:b w:val="false"/>
                <w:bCs w:val="false"/>
                <w:sz w:val="20"/>
                <w:szCs w:val="20"/>
              </w:rPr>
              <w:t xml:space="preserve">Extension compilée dans le noyau Rust via un trait commun.</w:t>
            </w:r>
          </w:p>
        </w:tc>
      </w:tr>
      <w:tr>
        <w:tc>
          <w:tcPr>
            <w:tcW w:type="dxa" w:w="3000"/>
            <w:tcMar>
              <w:top w:type="dxa" w:w="80"/>
              <w:left w:type="dxa" w:w="100"/>
              <w:bottom w:type="dxa" w:w="80"/>
              <w:right w:type="dxa" w:w="100"/>
            </w:tcMar>
          </w:tcPr>
          <w:p>
            <w:r>
              <w:rPr>
                <w:b w:val="false"/>
                <w:bCs w:val="false"/>
                <w:sz w:val="20"/>
                <w:szCs w:val="20"/>
              </w:rPr>
              <w:t xml:space="preserve">Module WASM</w:t>
            </w:r>
          </w:p>
        </w:tc>
        <w:tc>
          <w:tcPr>
            <w:tcW w:type="dxa" w:w="6000"/>
            <w:tcMar>
              <w:top w:type="dxa" w:w="80"/>
              <w:left w:type="dxa" w:w="100"/>
              <w:bottom w:type="dxa" w:w="80"/>
              <w:right w:type="dxa" w:w="100"/>
            </w:tcMar>
          </w:tcPr>
          <w:p>
            <w:r>
              <w:rPr>
                <w:b w:val="false"/>
                <w:bCs w:val="false"/>
                <w:sz w:val="20"/>
                <w:szCs w:val="20"/>
              </w:rPr>
              <w:t xml:space="preserve">Extension chargée en sandbox WebAssembly, ajoutable sans recompilation.</w:t>
            </w:r>
          </w:p>
        </w:tc>
      </w:tr>
      <w:tr>
        <w:tc>
          <w:tcPr>
            <w:tcW w:type="dxa" w:w="3000"/>
            <w:tcMar>
              <w:top w:type="dxa" w:w="80"/>
              <w:left w:type="dxa" w:w="100"/>
              <w:bottom w:type="dxa" w:w="80"/>
              <w:right w:type="dxa" w:w="100"/>
            </w:tcMar>
          </w:tcPr>
          <w:p>
            <w:r>
              <w:rPr>
                <w:b w:val="false"/>
                <w:bCs w:val="false"/>
                <w:sz w:val="20"/>
                <w:szCs w:val="20"/>
              </w:rPr>
              <w:t xml:space="preserve">ResultSet</w:t>
            </w:r>
          </w:p>
        </w:tc>
        <w:tc>
          <w:tcPr>
            <w:tcW w:type="dxa" w:w="6000"/>
            <w:tcMar>
              <w:top w:type="dxa" w:w="80"/>
              <w:left w:type="dxa" w:w="100"/>
              <w:bottom w:type="dxa" w:w="80"/>
              <w:right w:type="dxa" w:w="100"/>
            </w:tcMar>
          </w:tcPr>
          <w:p>
            <w:r>
              <w:rPr>
                <w:b w:val="false"/>
                <w:bCs w:val="false"/>
                <w:sz w:val="20"/>
                <w:szCs w:val="20"/>
              </w:rPr>
              <w:t xml:space="preserve">Jeu de résultats calculé, versionné, référencé par les visualisations.</w:t>
            </w:r>
          </w:p>
        </w:tc>
      </w:tr>
    </w:tbl>
    <w:p>
      <w:pPr>
        <w:pStyle w:val="Heading1"/>
        <w:spacing w:after="200" w:before="400"/>
      </w:pPr>
      <w:r>
        <w:t xml:space="preserve">20. Références</w:t>
      </w:r>
    </w:p>
    <w:p>
      <w:pPr>
        <w:spacing w:after="160"/>
      </w:pPr>
      <w:r>
        <w:t xml:space="preserve">Decidim — Documentation — </w:t>
      </w:r>
      <w:hyperlink w:history="1" r:id="rIdsaoilpwubjhqdjmg8l1_w">
        <w:r>
          <w:rPr>
            <w:rStyle w:val="Hyperlink"/>
          </w:rPr>
          <w:t xml:space="preserve">docs.decidim.org</w:t>
        </w:r>
      </w:hyperlink>
    </w:p>
    <w:p>
      <w:pPr>
        <w:spacing w:after="160"/>
      </w:pPr>
      <w:r>
        <w:t xml:space="preserve">CONSUL Democracy — </w:t>
      </w:r>
      <w:hyperlink w:history="1" r:id="rIdo0p70wnhc2aka8hnobraq">
        <w:r>
          <w:rPr>
            <w:rStyle w:val="Hyperlink"/>
          </w:rPr>
          <w:t xml:space="preserve">consuldemocracy.org</w:t>
        </w:r>
      </w:hyperlink>
    </w:p>
    <w:p>
      <w:pPr>
        <w:spacing w:after="160"/>
      </w:pPr>
      <w:r>
        <w:t xml:space="preserve">LimeSurvey — Types de questions — </w:t>
      </w:r>
      <w:hyperlink w:history="1" r:id="rId2imbssrhjchze-t26blmb">
        <w:r>
          <w:rPr>
            <w:rStyle w:val="Hyperlink"/>
          </w:rPr>
          <w:t xml:space="preserve">limesurvey.org</w:t>
        </w:r>
      </w:hyperlink>
    </w:p>
    <w:p>
      <w:pPr>
        <w:spacing w:after="160"/>
      </w:pPr>
      <w:r>
        <w:t xml:space="preserve">Belenios — </w:t>
      </w:r>
      <w:hyperlink w:history="1" r:id="rId08uxwvhmsinrxsmcerwcn">
        <w:r>
          <w:rPr>
            <w:rStyle w:val="Hyperlink"/>
          </w:rPr>
          <w:t xml:space="preserve">vote.belenios.org</w:t>
        </w:r>
      </w:hyperlink>
    </w:p>
    <w:p>
      <w:pPr>
        <w:spacing w:after="160"/>
      </w:pPr>
      <w:r>
        <w:t xml:space="preserve">Helios Voting — </w:t>
      </w:r>
      <w:hyperlink w:history="1" r:id="rId79apnhwo_6tc5cfzpfv0s">
        <w:r>
          <w:rPr>
            <w:rStyle w:val="Hyperlink"/>
          </w:rPr>
          <w:t xml:space="preserve">vote.heliosvoting.org</w:t>
        </w:r>
      </w:hyperlink>
    </w:p>
    <w:p>
      <w:pPr>
        <w:spacing w:after="160"/>
      </w:pPr>
      <w:r>
        <w:t xml:space="preserve">Agora Voting / nVotes — </w:t>
      </w:r>
      <w:hyperlink w:history="1" r:id="rIdgvyor21c9pvkemstel7bn">
        <w:r>
          <w:rPr>
            <w:rStyle w:val="Hyperlink"/>
          </w:rPr>
          <w:t xml:space="preserve">github.com/agoravoting</w:t>
        </w:r>
      </w:hyperlink>
    </w:p>
    <w:p>
      <w:pPr>
        <w:spacing w:after="160"/>
      </w:pPr>
      <w:r>
        <w:t xml:space="preserve">OpenSTV — </w:t>
      </w:r>
      <w:hyperlink w:history="1" r:id="rId1fiwnj4c7ddzkq09ztklu">
        <w:r>
          <w:rPr>
            <w:rStyle w:val="Hyperlink"/>
          </w:rPr>
          <w:t xml:space="preserve">github.com/Conservatory/openstv</w:t>
        </w:r>
      </w:hyperlink>
    </w:p>
    <w:p>
      <w:pPr>
        <w:spacing w:after="160"/>
      </w:pPr>
      <w:r>
        <w:t xml:space="preserve">Condorcet PHP (julien-boudry) — </w:t>
      </w:r>
      <w:hyperlink w:history="1" r:id="rId8yvl8icwewhl0ye7p3vqc">
        <w:r>
          <w:rPr>
            <w:rStyle w:val="Hyperlink"/>
          </w:rPr>
          <w:t xml:space="preserve">github.com/julien-boudry/Condorcet</w:t>
        </w:r>
      </w:hyperlink>
    </w:p>
    <w:p>
      <w:pPr>
        <w:spacing w:after="160"/>
      </w:pPr>
      <w:r>
        <w:t xml:space="preserve">NIST — Election Results Common Data Format — </w:t>
      </w:r>
      <w:hyperlink w:history="1" r:id="rIdex3d8csbqut-23w2gccp8">
        <w:r>
          <w:rPr>
            <w:rStyle w:val="Hyperlink"/>
          </w:rPr>
          <w:t xml:space="preserve">pages.nist.gov</w:t>
        </w:r>
      </w:hyperlink>
    </w:p>
    <w:p>
      <w:pPr>
        <w:spacing w:after="160"/>
      </w:pPr>
      <w:r>
        <w:t xml:space="preserve">Vega-Lite — </w:t>
      </w:r>
      <w:hyperlink w:history="1" r:id="rIdwhl-h0wu5ettekwezqmrk">
        <w:r>
          <w:rPr>
            <w:rStyle w:val="Hyperlink"/>
          </w:rPr>
          <w:t xml:space="preserve">vega.github.io/vega-lite</w:t>
        </w:r>
      </w:hyperlink>
    </w:p>
    <w:p>
      <w:pPr>
        <w:spacing w:after="160"/>
      </w:pPr>
      <w:r>
        <w:t xml:space="preserve">Observable Plot — </w:t>
      </w:r>
      <w:hyperlink w:history="1" r:id="rIdyd6wyxy33vrdpcb8fuf0u">
        <w:r>
          <w:rPr>
            <w:rStyle w:val="Hyperlink"/>
          </w:rPr>
          <w:t xml:space="preserve">observablehq.com/plot</w:t>
        </w:r>
      </w:hyperlink>
    </w:p>
    <w:p>
      <w:pPr>
        <w:spacing w:after="160"/>
      </w:pPr>
      <w:r>
        <w:t xml:space="preserve">Apache ECharts — </w:t>
      </w:r>
      <w:hyperlink w:history="1" r:id="rIdg63zmvg7l3f1s8xzpz0wu">
        <w:r>
          <w:rPr>
            <w:rStyle w:val="Hyperlink"/>
          </w:rPr>
          <w:t xml:space="preserve">echarts.apache.org</w:t>
        </w:r>
      </w:hyperlink>
    </w:p>
    <w:p>
      <w:pPr>
        <w:pStyle w:val="Heading1"/>
        <w:spacing w:after="200" w:before="400"/>
      </w:pPr>
      <w:r>
        <w:t xml:space="preserve">21. Travaux restant à mener</w:t>
      </w:r>
    </w:p>
    <w:p>
      <w:pPr>
        <w:pStyle w:val="ListParagraph"/>
        <w:numPr>
          <w:ilvl w:val="0"/>
          <w:numId w:val="1"/>
        </w:numPr>
        <w:spacing w:after="80"/>
      </w:pPr>
      <w:r>
        <w:t xml:space="preserve">Comparer en profondeur les licences et architectures des références.</w:t>
      </w:r>
    </w:p>
    <w:p>
      <w:pPr>
        <w:pStyle w:val="ListParagraph"/>
        <w:numPr>
          <w:ilvl w:val="0"/>
          <w:numId w:val="1"/>
        </w:numPr>
        <w:spacing w:after="80"/>
      </w:pPr>
      <w:r>
        <w:t xml:space="preserve">Définir le modèle de données relationnel et les invariants.</w:t>
      </w:r>
    </w:p>
    <w:p>
      <w:pPr>
        <w:pStyle w:val="ListParagraph"/>
        <w:numPr>
          <w:ilvl w:val="0"/>
          <w:numId w:val="1"/>
        </w:numPr>
        <w:spacing w:after="80"/>
      </w:pPr>
      <w:r>
        <w:t xml:space="preserve">Définir le contrat exact des modules (natif et WASM).</w:t>
      </w:r>
    </w:p>
    <w:p>
      <w:pPr>
        <w:pStyle w:val="ListParagraph"/>
        <w:numPr>
          <w:ilvl w:val="0"/>
          <w:numId w:val="1"/>
        </w:numPr>
        <w:spacing w:after="80"/>
      </w:pPr>
      <w:r>
        <w:t xml:space="preserve">Définir les méthodes de vote du catalogue initial et leurs tests mathématiques (jeux de bulletins de référence, comparaison avec Condorcet PHP / OpenSTV).</w:t>
      </w:r>
    </w:p>
    <w:p>
      <w:pPr>
        <w:pStyle w:val="ListParagraph"/>
        <w:numPr>
          <w:ilvl w:val="0"/>
          <w:numId w:val="1"/>
        </w:numPr>
        <w:spacing w:after="80"/>
      </w:pPr>
      <w:r>
        <w:t xml:space="preserve">Établir le glossaire électoral/statistique français-anglais.</w:t>
      </w:r>
    </w:p>
    <w:p>
      <w:pPr>
        <w:pStyle w:val="ListParagraph"/>
        <w:numPr>
          <w:ilvl w:val="0"/>
          <w:numId w:val="1"/>
        </w:numPr>
        <w:spacing w:after="80"/>
      </w:pPr>
      <w:r>
        <w:t xml:space="preserve">Produire le design system et les écrans détaillés à partir des planches fournies.</w:t>
      </w:r>
    </w:p>
    <w:p>
      <w:pPr>
        <w:pStyle w:val="ListParagraph"/>
        <w:numPr>
          <w:ilvl w:val="0"/>
          <w:numId w:val="1"/>
        </w:numPr>
        <w:spacing w:after="80"/>
      </w:pPr>
      <w:r>
        <w:t xml:space="preserve">Définir les exigences d'accessibilité (référentiel WCAG cible).</w:t>
      </w:r>
    </w:p>
    <w:p>
      <w:pPr>
        <w:pStyle w:val="ListParagraph"/>
        <w:numPr>
          <w:ilvl w:val="0"/>
          <w:numId w:val="1"/>
        </w:numPr>
        <w:spacing w:after="80"/>
      </w:pPr>
      <w:r>
        <w:t xml:space="preserve">Établir la stratégie de sécurité et de confidentialité par niveau de scrutin.</w:t>
      </w:r>
    </w:p>
    <w:p>
      <w:pPr>
        <w:pStyle w:val="ListParagraph"/>
        <w:numPr>
          <w:ilvl w:val="0"/>
          <w:numId w:val="1"/>
        </w:numPr>
        <w:spacing w:after="80"/>
      </w:pPr>
      <w:r>
        <w:t xml:space="preserve">Définir les API et événements temps réel.</w:t>
      </w:r>
    </w:p>
    <w:p>
      <w:pPr>
        <w:pStyle w:val="ListParagraph"/>
        <w:numPr>
          <w:ilvl w:val="0"/>
          <w:numId w:val="1"/>
        </w:numPr>
        <w:spacing w:after="80"/>
      </w:pPr>
      <w:r>
        <w:t xml:space="preserve">Définir la stratégie de licence et de gouvernance communautaire.</w:t>
      </w:r>
    </w:p>
    <w:p>
      <w:pPr>
        <w:pStyle w:val="ListParagraph"/>
        <w:numPr>
          <w:ilvl w:val="0"/>
          <w:numId w:val="1"/>
        </w:numPr>
        <w:spacing w:after="80"/>
      </w:pPr>
      <w:r>
        <w:t xml:space="preserve">Construire un prototype MVP.</w:t>
      </w:r>
    </w:p>
    <w:p>
      <w:pPr>
        <w:pBdr>
          <w:bottom w:val="single" w:color="AAAAAA" w:sz="6" w:space="1"/>
        </w:pBdr>
        <w:spacing w:after="200"/>
      </w:pPr>
    </w:p>
    <w:p>
      <w:pPr>
        <w:spacing w:after="160"/>
        <w:jc w:val="left"/>
      </w:pPr>
      <w:r>
        <w:rPr>
          <w:b w:val="false"/>
          <w:bCs w:val="false"/>
          <w:i/>
          <w:iCs/>
        </w:rPr>
        <w:t xml:space="preserve">Document de travail — version 0.2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Calibri" w:cs="Calibri" w:eastAsia="Calibri" w:hAnsi="Calibri"/>
      <w:b/>
      <w:bCs/>
      <w:color w:val="1F4E79"/>
      <w:sz w:val="32"/>
      <w:szCs w:val="32"/>
    </w:rPr>
  </w:style>
  <w:style w:type="paragraph" w:styleId="Heading2">
    <w:name w:val="Heading 2"/>
    <w:basedOn w:val="Normal"/>
    <w:next w:val="Normal"/>
    <w:pPr>
      <w:spacing w:after="150" w:before="300"/>
      <w:outlineLvl w:val="1"/>
    </w:pPr>
    <w:rPr>
      <w:rFonts w:ascii="Calibri" w:cs="Calibri" w:eastAsia="Calibri" w:hAnsi="Calibri"/>
      <w:b/>
      <w:bCs/>
      <w:color w:val="2E75B6"/>
      <w:sz w:val="26"/>
      <w:szCs w:val="26"/>
    </w:rPr>
  </w:style>
  <w:style w:type="paragraph" w:styleId="Heading3">
    <w:name w:val="Heading 3"/>
    <w:basedOn w:val="Normal"/>
    <w:next w:val="Normal"/>
    <w:pPr>
      <w:spacing w:after="100" w:before="200"/>
      <w:outlineLvl w:val="2"/>
    </w:pPr>
    <w:rPr>
      <w:rFonts w:ascii="Calibri" w:cs="Calibri" w:eastAsia="Calibri" w:hAnsi="Calibri"/>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aoilpwubjhqdjmg8l1_w" Type="http://schemas.openxmlformats.org/officeDocument/2006/relationships/hyperlink" Target="https://docs.decidim.org/en/develop/index.html" TargetMode="External"/><Relationship Id="rIdo0p70wnhc2aka8hnobraq" Type="http://schemas.openxmlformats.org/officeDocument/2006/relationships/hyperlink" Target="https://consuldemocracy.org/" TargetMode="External"/><Relationship Id="rId2imbssrhjchze-t26blmb" Type="http://schemas.openxmlformats.org/officeDocument/2006/relationships/hyperlink" Target="https://www.limesurvey.org/manual/Question_types" TargetMode="External"/><Relationship Id="rId08uxwvhmsinrxsmcerwcn" Type="http://schemas.openxmlformats.org/officeDocument/2006/relationships/hyperlink" Target="https://vote.belenios.org/v3/" TargetMode="External"/><Relationship Id="rId79apnhwo_6tc5cfzpfv0s" Type="http://schemas.openxmlformats.org/officeDocument/2006/relationships/hyperlink" Target="https://vote.heliosvoting.org/docs" TargetMode="External"/><Relationship Id="rIdgvyor21c9pvkemstel7bn" Type="http://schemas.openxmlformats.org/officeDocument/2006/relationships/hyperlink" Target="https://github.com/agoravoting" TargetMode="External"/><Relationship Id="rId1fiwnj4c7ddzkq09ztklu" Type="http://schemas.openxmlformats.org/officeDocument/2006/relationships/hyperlink" Target="https://github.com/Conservatory/openstv" TargetMode="External"/><Relationship Id="rId8yvl8icwewhl0ye7p3vqc" Type="http://schemas.openxmlformats.org/officeDocument/2006/relationships/hyperlink" Target="https://github.com/julien-boudry/Condorcet" TargetMode="External"/><Relationship Id="rIdex3d8csbqut-23w2gccp8" Type="http://schemas.openxmlformats.org/officeDocument/2006/relationships/hyperlink" Target="https://pages.nist.gov/ElectionResultsReporting/" TargetMode="External"/><Relationship Id="rIdwhl-h0wu5ettekwezqmrk" Type="http://schemas.openxmlformats.org/officeDocument/2006/relationships/hyperlink" Target="https://vega.github.io/vega-lite/docs/" TargetMode="External"/><Relationship Id="rIdyd6wyxy33vrdpcb8fuf0u" Type="http://schemas.openxmlformats.org/officeDocument/2006/relationships/hyperlink" Target="https://observablehq.com/plot/" TargetMode="External"/><Relationship Id="rIdg63zmvg7l3f1s8xzpz0wu" Type="http://schemas.openxmlformats.org/officeDocument/2006/relationships/hyperlink" Target="https://echarts.apache.org/" TargetMode="External"/><Relationship Id="rId7" Type="http://schemas.openxmlformats.org/officeDocument/2006/relationships/image" Target="media/03821efc3bce44d34ae2124e5e4d2eaa907d0c01.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2026-09-09T10:13:03.587Z</dcterms:created>
  <dcterms:modified xsi:type="dcterms:W3CDTF">2026-09-09T10:13:03.598Z</dcterms:modified>
</cp:coreProperties>
</file>

<file path=docProps/custom.xml><?xml version="1.0" encoding="utf-8"?>
<Properties xmlns="http://schemas.openxmlformats.org/officeDocument/2006/custom-properties" xmlns:vt="http://schemas.openxmlformats.org/officeDocument/2006/docPropsVTypes"/>
</file>