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B2E" w:val="clear"/>
            <w:tcMar>
              <w:top w:type="dxa" w:w="400"/>
              <w:left w:type="dxa" w:w="300"/>
              <w:bottom w:type="dxa" w:w="400"/>
              <w:right w:type="dxa" w:w="300"/>
            </w:tcMar>
          </w:tcPr>
          <w:p>
            <w:pPr>
              <w:spacing w:after="80" w:before="0"/>
              <w:jc w:val="left"/>
            </w:pPr>
            <w:r>
              <w:rPr>
                <w:rFonts w:ascii="Calibri" w:cs="Calibri" w:eastAsia="Calibri" w:hAnsi="Calibri"/>
                <w:b/>
                <w:bCs/>
                <w:i w:val="false"/>
                <w:iCs w:val="false"/>
                <w:color w:val="FFFFFF"/>
                <w:sz w:val="26"/>
                <w:szCs w:val="26"/>
              </w:rPr>
              <w:t xml:space="preserve">Integricity Technology</w:t>
            </w:r>
          </w:p>
          <w:p>
            <w:pPr>
              <w:spacing w:after="80" w:before="0"/>
              <w:jc w:val="left"/>
            </w:pPr>
            <w:r>
              <w:rPr>
                <w:rFonts w:ascii="Calibri" w:cs="Calibri" w:eastAsia="Calibri" w:hAnsi="Calibri"/>
                <w:b/>
                <w:bCs/>
                <w:i w:val="false"/>
                <w:iCs w:val="false"/>
                <w:color w:val="FFFFFF"/>
                <w:sz w:val="52"/>
                <w:szCs w:val="52"/>
              </w:rPr>
              <w:t xml:space="preserve">MSP Report Builder</w:t>
            </w:r>
          </w:p>
          <w:p>
            <w:pPr>
              <w:spacing w:after="120" w:before="0"/>
              <w:jc w:val="left"/>
            </w:pPr>
            <w:r>
              <w:rPr>
                <w:rFonts w:ascii="Calibri" w:cs="Calibri" w:eastAsia="Calibri" w:hAnsi="Calibri"/>
                <w:b w:val="false"/>
                <w:bCs w:val="false"/>
                <w:i w:val="false"/>
                <w:iCs w:val="false"/>
                <w:color w:val="AACCEE"/>
                <w:sz w:val="26"/>
                <w:szCs w:val="26"/>
              </w:rPr>
              <w:t xml:space="preserve">Setup Guide — New Tenant Onboarding</w:t>
            </w:r>
          </w:p>
          <w:p>
            <w:pPr>
              <w:spacing w:after="0" w:before="0"/>
              <w:jc w:val="left"/>
            </w:pPr>
            <w:r>
              <w:rPr>
                <w:rFonts w:ascii="Calibri" w:cs="Calibri" w:eastAsia="Calibri" w:hAnsi="Calibri"/>
                <w:b w:val="false"/>
                <w:bCs w:val="false"/>
                <w:i w:val="false"/>
                <w:iCs w:val="false"/>
                <w:color w:val="7799BB"/>
                <w:sz w:val="18"/>
                <w:szCs w:val="18"/>
              </w:rPr>
              <w:t xml:space="preserve">August 2026 · v7</w:t>
            </w:r>
          </w:p>
        </w:tc>
      </w:tr>
    </w:tbl>
    <w:p>
      <w:pPr>
        <w:spacing w:after="32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Overview</w:t>
      </w:r>
    </w:p>
    <w:p>
      <w:pPr>
        <w:spacing w:after="120" w:before="0"/>
        <w:jc w:val="left"/>
      </w:pPr>
      <w:r>
        <w:rPr>
          <w:rFonts w:ascii="Calibri" w:cs="Calibri" w:eastAsia="Calibri" w:hAnsi="Calibri"/>
          <w:b w:val="false"/>
          <w:bCs w:val="false"/>
          <w:i w:val="false"/>
          <w:iCs w:val="false"/>
          <w:color w:val="1F2937"/>
          <w:sz w:val="19"/>
          <w:szCs w:val="19"/>
        </w:rPr>
        <w:t xml:space="preserve">The MSP Report Builder pulls live data from Microsoft Graph API on behalf of each client tenant. To do this securely, an App Registration must be created in each client's Microsoft Entra ID tenant, granting 12 read-only Graph API permissions. This guide walks through that setup step by step for a brand new tenant.</w:t>
      </w:r>
    </w:p>
    <w:p>
      <w:pPr>
        <w:spacing w:after="120" w:before="0"/>
        <w:jc w:val="left"/>
      </w:pPr>
      <w:r>
        <w:rPr>
          <w:rFonts w:ascii="Calibri" w:cs="Calibri" w:eastAsia="Calibri" w:hAnsi="Calibri"/>
          <w:b w:val="false"/>
          <w:bCs w:val="false"/>
          <w:i w:val="false"/>
          <w:iCs w:val="false"/>
          <w:color w:val="1F2937"/>
          <w:sz w:val="19"/>
          <w:szCs w:val="19"/>
        </w:rPr>
        <w:t xml:space="preserve">Once configured, the client's Tenant ID, Client ID, and Client Secret are entered into the report builder at https://integricitymsp.netlify.app. This is a one-off setup per client — once complete, generating a report each month takes only a few minutes.</w:t>
      </w:r>
    </w:p>
    <w:p>
      <w:pPr>
        <w:spacing w:after="120"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
        <w:gridCol w:w="9352"/>
      </w:tblGrid>
      <w:tr>
        <w:tc>
          <w:tcPr>
            <w:tcW w:type="dxa" w:w="8"/>
            <w:tcBorders>
              <w:top w:val="none" w:color="FFFFFF" w:sz="0"/>
              <w:left w:val="none" w:color="FFFFFF" w:sz="0"/>
              <w:bottom w:val="none" w:color="FFFFFF" w:sz="0"/>
              <w:right w:val="none" w:color="FFFFFF" w:sz="0"/>
            </w:tcBorders>
            <w:shd w:fill="0D7CC4" w:val="clear"/>
            <w:tcMar>
              <w:top w:type="dxa" w:w="0"/>
              <w:left w:type="dxa" w:w="0"/>
              <w:bottom w:type="dxa" w:w="0"/>
              <w:right w:type="dxa" w:w="0"/>
            </w:tcMar>
          </w:tcPr>
          <w:p>
            <w:pPr>
              <w:spacing w:after="0" w:before="0"/>
              <w:jc w:val="left"/>
            </w:pPr>
          </w:p>
        </w:tc>
        <w:tc>
          <w:tcPr>
            <w:tcW w:type="dxa" w:w="9352"/>
            <w:tcBorders>
              <w:top w:val="none" w:color="FFFFFF" w:sz="0"/>
              <w:left w:val="none" w:color="FFFFFF" w:sz="0"/>
              <w:bottom w:val="none" w:color="FFFFFF" w:sz="0"/>
              <w:right w:val="single" w:color="E5E7EB" w:sz="4"/>
            </w:tcBorders>
            <w:shd w:fill="F9FAFB" w:val="clear"/>
            <w:tcMar>
              <w:top w:type="dxa" w:w="80"/>
              <w:left w:type="dxa" w:w="160"/>
              <w:bottom w:type="dxa" w:w="80"/>
              <w:right w:type="dxa" w:w="120"/>
            </w:tcMar>
          </w:tcPr>
          <w:p>
            <w:pPr>
              <w:spacing w:after="0" w:before="0"/>
              <w:jc w:val="left"/>
            </w:pPr>
            <w:r>
              <w:rPr>
                <w:rFonts w:ascii="Calibri" w:cs="Calibri" w:eastAsia="Calibri" w:hAnsi="Calibri"/>
                <w:b w:val="false"/>
                <w:bCs w:val="false"/>
                <w:i w:val="false"/>
                <w:iCs w:val="false"/>
                <w:color w:val="1F2937"/>
                <w:sz w:val="18"/>
                <w:szCs w:val="18"/>
              </w:rPr>
              <w:t xml:space="preserve">Estimated time: 10-15 minutes per tenant. Requires Global Administrator access to the client's Microsoft 365 tenant for at least the admin consent step.</w:t>
            </w:r>
          </w:p>
        </w:tc>
      </w:tr>
    </w:tbl>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Prerequisites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Access level: Global Administrator or Privileged Role Administrator in the client's tenant. Admin consent (Step 6) specifically requires Global Administrator.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Microsoft 365 licences: the client must have Microsoft 365 Business Premium, E3, or E5 (or Intune standalone)</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Intune: Microsoft Intune must be active with enrolled devices present in the tenant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Browser: any modern browser with access to entra.microsoft.com</w:t>
      </w:r>
    </w:p>
    <w:p>
      <w:pPr>
        <w:spacing w:after="200" w:before="0"/>
        <w:jc w:val="left"/>
      </w:pPr>
    </w:p>
    <w:p>
      <w:pPr>
        <w:pStyle w:val="Heading1"/>
        <w:pBdr>
          <w:bottom w:val="single" w:color="8C0C6E" w:sz="8"/>
        </w:pBdr>
        <w:spacing w:after="120" w:before="360"/>
      </w:pPr>
      <w:r>
        <w:rPr>
          <w:rFonts w:ascii="Calibri" w:cs="Calibri" w:eastAsia="Calibri" w:hAnsi="Calibri"/>
          <w:b/>
          <w:bCs/>
          <w:i w:val="false"/>
          <w:iCs w:val="false"/>
          <w:color w:val="8C0C6E"/>
          <w:sz w:val="30"/>
          <w:szCs w:val="30"/>
        </w:rPr>
        <w:t xml:space="preserve">Step-by-Step Setup</w:t>
      </w:r>
    </w:p>
    <w:p>
      <w:pPr>
        <w:spacing w:after="60" w:before="180"/>
      </w:pPr>
      <w:r>
        <w:rPr>
          <w:rFonts w:ascii="Calibri" w:cs="Calibri" w:eastAsia="Calibri" w:hAnsi="Calibri"/>
          <w:b/>
          <w:bCs/>
          <w:i w:val="false"/>
          <w:iCs w:val="false"/>
          <w:color w:val="0D7CC4"/>
          <w:sz w:val="19"/>
          <w:szCs w:val="19"/>
        </w:rPr>
        <w:t xml:space="preserve">Step 1 — </w:t>
      </w:r>
      <w:r>
        <w:rPr>
          <w:rFonts w:ascii="Calibri" w:cs="Calibri" w:eastAsia="Calibri" w:hAnsi="Calibri"/>
          <w:b/>
          <w:bCs/>
          <w:i w:val="false"/>
          <w:iCs w:val="false"/>
          <w:color w:val="1F2937"/>
          <w:sz w:val="19"/>
          <w:szCs w:val="19"/>
        </w:rPr>
        <w:t xml:space="preserve">Sign in to Microsoft Entra admin centre</w:t>
      </w:r>
    </w:p>
    <w:p>
      <w:pPr>
        <w:spacing w:after="120" w:before="0"/>
        <w:jc w:val="left"/>
      </w:pPr>
      <w:r>
        <w:rPr>
          <w:rFonts w:ascii="Calibri" w:cs="Calibri" w:eastAsia="Calibri" w:hAnsi="Calibri"/>
          <w:b w:val="false"/>
          <w:bCs w:val="false"/>
          <w:i w:val="false"/>
          <w:iCs w:val="false"/>
          <w:color w:val="6B7280"/>
          <w:sz w:val="19"/>
          <w:szCs w:val="19"/>
        </w:rPr>
        <w:t xml:space="preserve">Navigate to entra.microsoft.com and sign in with a Global Administrator account for the client tenant.</w:t>
      </w:r>
    </w:p>
    <w:p>
      <w:pPr>
        <w:spacing w:after="60" w:before="180"/>
      </w:pPr>
      <w:r>
        <w:rPr>
          <w:rFonts w:ascii="Calibri" w:cs="Calibri" w:eastAsia="Calibri" w:hAnsi="Calibri"/>
          <w:b/>
          <w:bCs/>
          <w:i w:val="false"/>
          <w:iCs w:val="false"/>
          <w:color w:val="0D7CC4"/>
          <w:sz w:val="19"/>
          <w:szCs w:val="19"/>
        </w:rPr>
        <w:t xml:space="preserve">Step 2 — </w:t>
      </w:r>
      <w:r>
        <w:rPr>
          <w:rFonts w:ascii="Calibri" w:cs="Calibri" w:eastAsia="Calibri" w:hAnsi="Calibri"/>
          <w:b/>
          <w:bCs/>
          <w:i w:val="false"/>
          <w:iCs w:val="false"/>
          <w:color w:val="1F2937"/>
          <w:sz w:val="19"/>
          <w:szCs w:val="19"/>
        </w:rPr>
        <w:t xml:space="preserve">Create a new App Registration</w:t>
      </w:r>
    </w:p>
    <w:p>
      <w:pPr>
        <w:spacing w:after="120" w:before="0"/>
        <w:jc w:val="left"/>
      </w:pPr>
      <w:r>
        <w:rPr>
          <w:rFonts w:ascii="Calibri" w:cs="Calibri" w:eastAsia="Calibri" w:hAnsi="Calibri"/>
          <w:b w:val="false"/>
          <w:bCs w:val="false"/>
          <w:i w:val="false"/>
          <w:iCs w:val="false"/>
          <w:color w:val="6B7280"/>
          <w:sz w:val="19"/>
          <w:szCs w:val="19"/>
        </w:rPr>
        <w:t xml:space="preserve">Go to Applications → App registrations → New registration, and fill in the form:</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Name: Integricity MSP Report Builder (or any recognisable name)</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Supported account types: Accounts in this organisational directory only (Single tenant)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Redirect URI: leave blank — not required for the client credentials flow</w:t>
      </w:r>
    </w:p>
    <w:p>
      <w:pPr>
        <w:spacing w:after="120" w:before="0"/>
        <w:jc w:val="left"/>
      </w:pPr>
      <w:r>
        <w:rPr>
          <w:rFonts w:ascii="Calibri" w:cs="Calibri" w:eastAsia="Calibri" w:hAnsi="Calibri"/>
          <w:b w:val="false"/>
          <w:bCs w:val="false"/>
          <w:i w:val="false"/>
          <w:iCs w:val="false"/>
          <w:color w:val="6B7280"/>
          <w:sz w:val="19"/>
          <w:szCs w:val="19"/>
        </w:rPr>
        <w:t xml:space="preserve">Click Register.</w:t>
      </w:r>
    </w:p>
    <w:p>
      <w:pPr>
        <w:spacing w:after="60" w:before="180"/>
      </w:pPr>
      <w:r>
        <w:rPr>
          <w:rFonts w:ascii="Calibri" w:cs="Calibri" w:eastAsia="Calibri" w:hAnsi="Calibri"/>
          <w:b/>
          <w:bCs/>
          <w:i w:val="false"/>
          <w:iCs w:val="false"/>
          <w:color w:val="0D7CC4"/>
          <w:sz w:val="19"/>
          <w:szCs w:val="19"/>
        </w:rPr>
        <w:t xml:space="preserve">Step 3 — </w:t>
      </w:r>
      <w:r>
        <w:rPr>
          <w:rFonts w:ascii="Calibri" w:cs="Calibri" w:eastAsia="Calibri" w:hAnsi="Calibri"/>
          <w:b/>
          <w:bCs/>
          <w:i w:val="false"/>
          <w:iCs w:val="false"/>
          <w:color w:val="1F2937"/>
          <w:sz w:val="19"/>
          <w:szCs w:val="19"/>
        </w:rPr>
        <w:t xml:space="preserve">Note your Tenant ID and Client ID</w:t>
      </w:r>
    </w:p>
    <w:p>
      <w:pPr>
        <w:spacing w:after="120" w:before="0"/>
        <w:jc w:val="left"/>
      </w:pPr>
      <w:r>
        <w:rPr>
          <w:rFonts w:ascii="Calibri" w:cs="Calibri" w:eastAsia="Calibri" w:hAnsi="Calibri"/>
          <w:b w:val="false"/>
          <w:bCs w:val="false"/>
          <w:i w:val="false"/>
          <w:iCs w:val="false"/>
          <w:color w:val="6B7280"/>
          <w:sz w:val="19"/>
          <w:szCs w:val="19"/>
        </w:rPr>
        <w:t xml:space="preserve">After registering, you land on the app's Overview page. Note down:</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Application (client) ID — this is the Client ID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Directory (tenant) ID — this is the Tenant ID</w:t>
      </w:r>
    </w:p>
    <w:p>
      <w:pPr>
        <w:spacing w:after="60" w:before="180"/>
      </w:pPr>
      <w:r>
        <w:rPr>
          <w:rFonts w:ascii="Calibri" w:cs="Calibri" w:eastAsia="Calibri" w:hAnsi="Calibri"/>
          <w:b/>
          <w:bCs/>
          <w:i w:val="false"/>
          <w:iCs w:val="false"/>
          <w:color w:val="0D7CC4"/>
          <w:sz w:val="19"/>
          <w:szCs w:val="19"/>
        </w:rPr>
        <w:t xml:space="preserve">Step 4 — </w:t>
      </w:r>
      <w:r>
        <w:rPr>
          <w:rFonts w:ascii="Calibri" w:cs="Calibri" w:eastAsia="Calibri" w:hAnsi="Calibri"/>
          <w:b/>
          <w:bCs/>
          <w:i w:val="false"/>
          <w:iCs w:val="false"/>
          <w:color w:val="1F2937"/>
          <w:sz w:val="19"/>
          <w:szCs w:val="19"/>
        </w:rPr>
        <w:t xml:space="preserve">Create a Client Secret</w:t>
      </w:r>
    </w:p>
    <w:p>
      <w:pPr>
        <w:spacing w:after="120" w:before="0"/>
        <w:jc w:val="left"/>
      </w:pPr>
      <w:r>
        <w:rPr>
          <w:rFonts w:ascii="Calibri" w:cs="Calibri" w:eastAsia="Calibri" w:hAnsi="Calibri"/>
          <w:b w:val="false"/>
          <w:bCs w:val="false"/>
          <w:i w:val="false"/>
          <w:iCs w:val="false"/>
          <w:color w:val="6B7280"/>
          <w:sz w:val="19"/>
          <w:szCs w:val="19"/>
        </w:rPr>
        <w:t xml:space="preserve">Go to Certificates &amp; secrets → Client secrets → New client secret.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Description: Integricity MSP Report Builder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Expires: choose 12 or 24 months (set a calendar reminder to renew before expiry)</w:t>
      </w:r>
    </w:p>
    <w:p>
      <w:pPr>
        <w:spacing w:after="120" w:before="0"/>
        <w:jc w:val="left"/>
      </w:pPr>
      <w:r>
        <w:rPr>
          <w:rFonts w:ascii="Calibri" w:cs="Calibri" w:eastAsia="Calibri" w:hAnsi="Calibri"/>
          <w:b w:val="false"/>
          <w:bCs w:val="false"/>
          <w:i w:val="false"/>
          <w:iCs w:val="false"/>
          <w:color w:val="6B7280"/>
          <w:sz w:val="19"/>
          <w:szCs w:val="19"/>
        </w:rPr>
        <w:t xml:space="preserve">Click Add.</w:t>
      </w:r>
    </w:p>
    <w:p>
      <w:pPr>
        <w:spacing w:after="4"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
        <w:gridCol w:w="9352"/>
      </w:tblGrid>
      <w:tr>
        <w:tc>
          <w:tcPr>
            <w:tcW w:type="dxa" w:w="8"/>
            <w:tcBorders>
              <w:top w:val="none" w:color="FFFFFF" w:sz="0"/>
              <w:left w:val="none" w:color="FFFFFF" w:sz="0"/>
              <w:bottom w:val="none" w:color="FFFFFF" w:sz="0"/>
              <w:right w:val="none" w:color="FFFFFF" w:sz="0"/>
            </w:tcBorders>
            <w:shd w:fill="C0152A" w:val="clear"/>
            <w:tcMar>
              <w:top w:type="dxa" w:w="0"/>
              <w:left w:type="dxa" w:w="0"/>
              <w:bottom w:type="dxa" w:w="0"/>
              <w:right w:type="dxa" w:w="0"/>
            </w:tcMar>
          </w:tcPr>
          <w:p>
            <w:pPr>
              <w:spacing w:after="0" w:before="0"/>
              <w:jc w:val="left"/>
            </w:pPr>
          </w:p>
        </w:tc>
        <w:tc>
          <w:tcPr>
            <w:tcW w:type="dxa" w:w="9352"/>
            <w:tcBorders>
              <w:top w:val="none" w:color="FFFFFF" w:sz="0"/>
              <w:left w:val="none" w:color="FFFFFF" w:sz="0"/>
              <w:bottom w:val="none" w:color="FFFFFF" w:sz="0"/>
              <w:right w:val="single" w:color="E5E7EB" w:sz="4"/>
            </w:tcBorders>
            <w:shd w:fill="F9FAFB" w:val="clear"/>
            <w:tcMar>
              <w:top w:type="dxa" w:w="80"/>
              <w:left w:type="dxa" w:w="160"/>
              <w:bottom w:type="dxa" w:w="80"/>
              <w:right w:type="dxa" w:w="120"/>
            </w:tcMar>
          </w:tcPr>
          <w:p>
            <w:pPr>
              <w:spacing w:after="0" w:before="0"/>
              <w:jc w:val="left"/>
            </w:pPr>
            <w:r>
              <w:rPr>
                <w:rFonts w:ascii="Calibri" w:cs="Calibri" w:eastAsia="Calibri" w:hAnsi="Calibri"/>
                <w:b w:val="false"/>
                <w:bCs w:val="false"/>
                <w:i w:val="false"/>
                <w:iCs w:val="false"/>
                <w:color w:val="1F2937"/>
                <w:sz w:val="18"/>
                <w:szCs w:val="18"/>
              </w:rPr>
              <w:t xml:space="preserve">Copy the secret Value immediately after creation. It will not be shown again. The Secret ID is not what you need — copy the Value column.</w:t>
            </w:r>
          </w:p>
        </w:tc>
      </w:tr>
    </w:tbl>
    <w:p>
      <w:pPr>
        <w:spacing w:after="120" w:before="0"/>
        <w:jc w:val="left"/>
      </w:pPr>
    </w:p>
    <w:p>
      <w:pPr>
        <w:spacing w:after="60" w:before="180"/>
      </w:pPr>
      <w:r>
        <w:rPr>
          <w:rFonts w:ascii="Calibri" w:cs="Calibri" w:eastAsia="Calibri" w:hAnsi="Calibri"/>
          <w:b/>
          <w:bCs/>
          <w:i w:val="false"/>
          <w:iCs w:val="false"/>
          <w:color w:val="0D7CC4"/>
          <w:sz w:val="19"/>
          <w:szCs w:val="19"/>
        </w:rPr>
        <w:t xml:space="preserve">Step 5 — </w:t>
      </w:r>
      <w:r>
        <w:rPr>
          <w:rFonts w:ascii="Calibri" w:cs="Calibri" w:eastAsia="Calibri" w:hAnsi="Calibri"/>
          <w:b/>
          <w:bCs/>
          <w:i w:val="false"/>
          <w:iCs w:val="false"/>
          <w:color w:val="1F2937"/>
          <w:sz w:val="19"/>
          <w:szCs w:val="19"/>
        </w:rPr>
        <w:t xml:space="preserve">Add API permissions</w:t>
      </w:r>
    </w:p>
    <w:p>
      <w:pPr>
        <w:spacing w:after="120" w:before="0"/>
        <w:jc w:val="left"/>
      </w:pPr>
      <w:r>
        <w:rPr>
          <w:rFonts w:ascii="Calibri" w:cs="Calibri" w:eastAsia="Calibri" w:hAnsi="Calibri"/>
          <w:b w:val="false"/>
          <w:bCs w:val="false"/>
          <w:i w:val="false"/>
          <w:iCs w:val="false"/>
          <w:color w:val="6B7280"/>
          <w:sz w:val="19"/>
          <w:szCs w:val="19"/>
        </w:rPr>
        <w:t xml:space="preserve">Go to API permissions → Add a permission → Microsoft Graph → Application permissions, and search for and add each of the following:</w:t>
      </w:r>
    </w:p>
    <w:p>
      <w:pPr>
        <w:spacing w:after="4"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5148"/>
        <w:gridCol w:w="1404"/>
      </w:tblGrid>
      <w:tr>
        <w:tc>
          <w:tcPr>
            <w:tcW w:type="dxa" w:w="2808"/>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Permission</w:t>
            </w:r>
          </w:p>
        </w:tc>
        <w:tc>
          <w:tcPr>
            <w:tcW w:type="dxa" w:w="5148"/>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Used for</w:t>
            </w:r>
          </w:p>
        </w:tc>
        <w:tc>
          <w:tcPr>
            <w:tcW w:type="dxa" w:w="1404"/>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Status</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DeviceManagementManagedDevices.Read.All</w:t>
            </w:r>
          </w:p>
        </w:tc>
        <w:tc>
          <w:tcPr>
            <w:tcW w:type="dxa" w:w="514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Device inventory, compliance, patch status, encryption, disk space, device types</w:t>
            </w:r>
          </w:p>
        </w:tc>
        <w:tc>
          <w:tcPr>
            <w:tcW w:type="dxa" w:w="1404"/>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DeviceManagementConfiguration.Read.All</w:t>
            </w:r>
          </w:p>
        </w:tc>
        <w:tc>
          <w:tcPr>
            <w:tcW w:type="dxa" w:w="514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Compliance policies</w:t>
            </w:r>
          </w:p>
        </w:tc>
        <w:tc>
          <w:tcPr>
            <w:tcW w:type="dxa" w:w="1404"/>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DeviceManagementApps.Read.All</w:t>
            </w:r>
          </w:p>
        </w:tc>
        <w:tc>
          <w:tcPr>
            <w:tcW w:type="dxa" w:w="514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App protection (MAM) policies</w:t>
            </w:r>
          </w:p>
        </w:tc>
        <w:tc>
          <w:tcPr>
            <w:tcW w:type="dxa" w:w="1404"/>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Policy.Read.All</w:t>
            </w:r>
          </w:p>
        </w:tc>
        <w:tc>
          <w:tcPr>
            <w:tcW w:type="dxa" w:w="514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Conditional Access policies, security defaults, authentication methods</w:t>
            </w:r>
          </w:p>
        </w:tc>
        <w:tc>
          <w:tcPr>
            <w:tcW w:type="dxa" w:w="1404"/>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SecurityEvents.Read.All</w:t>
            </w:r>
          </w:p>
        </w:tc>
        <w:tc>
          <w:tcPr>
            <w:tcW w:type="dxa" w:w="514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Microsoft Secure Score</w:t>
            </w:r>
          </w:p>
        </w:tc>
        <w:tc>
          <w:tcPr>
            <w:tcW w:type="dxa" w:w="1404"/>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IdentityRiskyUser.Read.All</w:t>
            </w:r>
          </w:p>
        </w:tc>
        <w:tc>
          <w:tcPr>
            <w:tcW w:type="dxa" w:w="514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Entra ID Protection — risky user accounts</w:t>
            </w:r>
          </w:p>
        </w:tc>
        <w:tc>
          <w:tcPr>
            <w:tcW w:type="dxa" w:w="1404"/>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AuditLog.Read.All</w:t>
            </w:r>
          </w:p>
        </w:tc>
        <w:tc>
          <w:tcPr>
            <w:tcW w:type="dxa" w:w="514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User last sign-in dates, sign-ins from outside AU/NZ/MY</w:t>
            </w:r>
          </w:p>
        </w:tc>
        <w:tc>
          <w:tcPr>
            <w:tcW w:type="dxa" w:w="1404"/>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User.Read.All</w:t>
            </w:r>
          </w:p>
        </w:tc>
        <w:tc>
          <w:tcPr>
            <w:tcW w:type="dxa" w:w="514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User list, guest count, licence assignments, shared mailboxes, inactive accounts</w:t>
            </w:r>
          </w:p>
        </w:tc>
        <w:tc>
          <w:tcPr>
            <w:tcW w:type="dxa" w:w="1404"/>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RoleManagement.Read.Directory</w:t>
            </w:r>
          </w:p>
        </w:tc>
        <w:tc>
          <w:tcPr>
            <w:tcW w:type="dxa" w:w="514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Admin role holders and their role names</w:t>
            </w:r>
          </w:p>
        </w:tc>
        <w:tc>
          <w:tcPr>
            <w:tcW w:type="dxa" w:w="1404"/>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Reports.Read.All</w:t>
            </w:r>
          </w:p>
        </w:tc>
        <w:tc>
          <w:tcPr>
            <w:tcW w:type="dxa" w:w="514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SharePoint usage — site count, storage used, inactive sites</w:t>
            </w:r>
          </w:p>
        </w:tc>
        <w:tc>
          <w:tcPr>
            <w:tcW w:type="dxa" w:w="1404"/>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Organization.Read.All</w:t>
            </w:r>
          </w:p>
        </w:tc>
        <w:tc>
          <w:tcPr>
            <w:tcW w:type="dxa" w:w="514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Licence subscriptions — used vs available counts</w:t>
            </w:r>
          </w:p>
        </w:tc>
        <w:tc>
          <w:tcPr>
            <w:tcW w:type="dxa" w:w="1404"/>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Group.Read.All</w:t>
            </w:r>
          </w:p>
        </w:tc>
        <w:tc>
          <w:tcPr>
            <w:tcW w:type="dxa" w:w="514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Microsoft 365 Group and Security Group counts</w:t>
            </w:r>
          </w:p>
        </w:tc>
        <w:tc>
          <w:tcPr>
            <w:tcW w:type="dxa" w:w="1404"/>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bl>
    <w:p>
      <w:pPr>
        <w:spacing w:after="200" w:before="0"/>
        <w:jc w:val="left"/>
      </w:pPr>
    </w:p>
    <w:p>
      <w:pPr>
        <w:spacing w:after="60" w:before="180"/>
      </w:pPr>
      <w:r>
        <w:rPr>
          <w:rFonts w:ascii="Calibri" w:cs="Calibri" w:eastAsia="Calibri" w:hAnsi="Calibri"/>
          <w:b/>
          <w:bCs/>
          <w:i w:val="false"/>
          <w:iCs w:val="false"/>
          <w:color w:val="0D7CC4"/>
          <w:sz w:val="19"/>
          <w:szCs w:val="19"/>
        </w:rPr>
        <w:t xml:space="preserve">Step 6 — </w:t>
      </w:r>
      <w:r>
        <w:rPr>
          <w:rFonts w:ascii="Calibri" w:cs="Calibri" w:eastAsia="Calibri" w:hAnsi="Calibri"/>
          <w:b/>
          <w:bCs/>
          <w:i w:val="false"/>
          <w:iCs w:val="false"/>
          <w:color w:val="1F2937"/>
          <w:sz w:val="19"/>
          <w:szCs w:val="19"/>
        </w:rPr>
        <w:t xml:space="preserve">Grant admin consent</w:t>
      </w:r>
    </w:p>
    <w:p>
      <w:pPr>
        <w:spacing w:after="120" w:before="0"/>
        <w:jc w:val="left"/>
      </w:pPr>
      <w:r>
        <w:rPr>
          <w:rFonts w:ascii="Calibri" w:cs="Calibri" w:eastAsia="Calibri" w:hAnsi="Calibri"/>
          <w:b w:val="false"/>
          <w:bCs w:val="false"/>
          <w:i w:val="false"/>
          <w:iCs w:val="false"/>
          <w:color w:val="6B7280"/>
          <w:sz w:val="19"/>
          <w:szCs w:val="19"/>
        </w:rPr>
        <w:t xml:space="preserve">Click the Grant admin consent for [Tenant Name] button, then confirm the dialog. All 12 permissions should show a green tick with status "Granted for [Tenant Name]".</w:t>
      </w:r>
    </w:p>
    <w:p>
      <w:pPr>
        <w:spacing w:after="4"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
        <w:gridCol w:w="9352"/>
      </w:tblGrid>
      <w:tr>
        <w:tc>
          <w:tcPr>
            <w:tcW w:type="dxa" w:w="8"/>
            <w:tcBorders>
              <w:top w:val="none" w:color="FFFFFF" w:sz="0"/>
              <w:left w:val="none" w:color="FFFFFF" w:sz="0"/>
              <w:bottom w:val="none" w:color="FFFFFF" w:sz="0"/>
              <w:right w:val="none" w:color="FFFFFF" w:sz="0"/>
            </w:tcBorders>
            <w:shd w:fill="C0152A" w:val="clear"/>
            <w:tcMar>
              <w:top w:type="dxa" w:w="0"/>
              <w:left w:type="dxa" w:w="0"/>
              <w:bottom w:type="dxa" w:w="0"/>
              <w:right w:type="dxa" w:w="0"/>
            </w:tcMar>
          </w:tcPr>
          <w:p>
            <w:pPr>
              <w:spacing w:after="0" w:before="0"/>
              <w:jc w:val="left"/>
            </w:pPr>
          </w:p>
        </w:tc>
        <w:tc>
          <w:tcPr>
            <w:tcW w:type="dxa" w:w="9352"/>
            <w:tcBorders>
              <w:top w:val="none" w:color="FFFFFF" w:sz="0"/>
              <w:left w:val="none" w:color="FFFFFF" w:sz="0"/>
              <w:bottom w:val="none" w:color="FFFFFF" w:sz="0"/>
              <w:right w:val="single" w:color="E5E7EB" w:sz="4"/>
            </w:tcBorders>
            <w:shd w:fill="F9FAFB" w:val="clear"/>
            <w:tcMar>
              <w:top w:type="dxa" w:w="80"/>
              <w:left w:type="dxa" w:w="160"/>
              <w:bottom w:type="dxa" w:w="80"/>
              <w:right w:type="dxa" w:w="120"/>
            </w:tcMar>
          </w:tcPr>
          <w:p>
            <w:pPr>
              <w:spacing w:after="0" w:before="0"/>
              <w:jc w:val="left"/>
            </w:pPr>
            <w:r>
              <w:rPr>
                <w:rFonts w:ascii="Calibri" w:cs="Calibri" w:eastAsia="Calibri" w:hAnsi="Calibri"/>
                <w:b w:val="false"/>
                <w:bCs w:val="false"/>
                <w:i w:val="false"/>
                <w:iCs w:val="false"/>
                <w:color w:val="1F2937"/>
                <w:sz w:val="18"/>
                <w:szCs w:val="18"/>
              </w:rPr>
              <w:t xml:space="preserve">If you do not see the "Grant admin consent" button, you do not have sufficient privileges. Ask a Global Administrator to complete this step.</w:t>
            </w:r>
          </w:p>
        </w:tc>
      </w:tr>
    </w:tbl>
    <w:p>
      <w:pPr>
        <w:spacing w:after="120" w:before="0"/>
        <w:jc w:val="left"/>
      </w:pPr>
    </w:p>
    <w:p>
      <w:pPr>
        <w:spacing w:after="60" w:before="180"/>
      </w:pPr>
      <w:r>
        <w:rPr>
          <w:rFonts w:ascii="Calibri" w:cs="Calibri" w:eastAsia="Calibri" w:hAnsi="Calibri"/>
          <w:b/>
          <w:bCs/>
          <w:i w:val="false"/>
          <w:iCs w:val="false"/>
          <w:color w:val="0D7CC4"/>
          <w:sz w:val="19"/>
          <w:szCs w:val="19"/>
        </w:rPr>
        <w:t xml:space="preserve">Step 7 — </w:t>
      </w:r>
      <w:r>
        <w:rPr>
          <w:rFonts w:ascii="Calibri" w:cs="Calibri" w:eastAsia="Calibri" w:hAnsi="Calibri"/>
          <w:b/>
          <w:bCs/>
          <w:i w:val="false"/>
          <w:iCs w:val="false"/>
          <w:color w:val="1F2937"/>
          <w:sz w:val="19"/>
          <w:szCs w:val="19"/>
        </w:rPr>
        <w:t xml:space="preserve">Test the connection</w:t>
      </w:r>
    </w:p>
    <w:p>
      <w:pPr>
        <w:spacing w:after="120" w:before="0"/>
        <w:jc w:val="left"/>
      </w:pPr>
      <w:r>
        <w:rPr>
          <w:rFonts w:ascii="Calibri" w:cs="Calibri" w:eastAsia="Calibri" w:hAnsi="Calibri"/>
          <w:b w:val="false"/>
          <w:bCs w:val="false"/>
          <w:i w:val="false"/>
          <w:iCs w:val="false"/>
          <w:color w:val="6B7280"/>
          <w:sz w:val="19"/>
          <w:szCs w:val="19"/>
        </w:rPr>
        <w:t xml:space="preserve">Open https://integricitymsp.netlify.app and enter the three values from Steps 3 and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Field</w:t>
            </w:r>
          </w:p>
        </w:tc>
        <w:tc>
          <w:tcPr>
            <w:tcW w:type="dxa" w:w="6552"/>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Where to find it</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Tenant ID</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App registration Overview page → Directory (tenant) ID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Client ID</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App registration Overview page → Application (client) ID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Client Secret</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Certificates &amp; secrets → Client secrets → Value (copied in Step 4)</w:t>
            </w:r>
          </w:p>
        </w:tc>
      </w:tr>
    </w:tbl>
    <w:p>
      <w:pPr>
        <w:spacing w:after="120" w:before="0"/>
        <w:jc w:val="left"/>
      </w:pPr>
    </w:p>
    <w:p>
      <w:pPr>
        <w:spacing w:after="120" w:before="0"/>
        <w:jc w:val="left"/>
      </w:pPr>
      <w:r>
        <w:rPr>
          <w:rFonts w:ascii="Calibri" w:cs="Calibri" w:eastAsia="Calibri" w:hAnsi="Calibri"/>
          <w:b w:val="false"/>
          <w:bCs w:val="false"/>
          <w:i w:val="false"/>
          <w:iCs w:val="false"/>
          <w:color w:val="6B7280"/>
          <w:sz w:val="19"/>
          <w:szCs w:val="19"/>
        </w:rPr>
        <w:t xml:space="preserve">Enter the client's display name, click Save &amp; continue, then click Pull data. If the setup is correct, KPI cards will populate within a few seconds across every section. If any section is blank, see the Troubleshooting table below.</w:t>
      </w:r>
    </w:p>
    <w:p>
      <w:pPr>
        <w:spacing w:after="4"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
        <w:gridCol w:w="9352"/>
      </w:tblGrid>
      <w:tr>
        <w:tc>
          <w:tcPr>
            <w:tcW w:type="dxa" w:w="8"/>
            <w:tcBorders>
              <w:top w:val="none" w:color="FFFFFF" w:sz="0"/>
              <w:left w:val="none" w:color="FFFFFF" w:sz="0"/>
              <w:bottom w:val="none" w:color="FFFFFF" w:sz="0"/>
              <w:right w:val="none" w:color="FFFFFF" w:sz="0"/>
            </w:tcBorders>
            <w:shd w:fill="0D7CC4" w:val="clear"/>
            <w:tcMar>
              <w:top w:type="dxa" w:w="0"/>
              <w:left w:type="dxa" w:w="0"/>
              <w:bottom w:type="dxa" w:w="0"/>
              <w:right w:type="dxa" w:w="0"/>
            </w:tcMar>
          </w:tcPr>
          <w:p>
            <w:pPr>
              <w:spacing w:after="0" w:before="0"/>
              <w:jc w:val="left"/>
            </w:pPr>
          </w:p>
        </w:tc>
        <w:tc>
          <w:tcPr>
            <w:tcW w:type="dxa" w:w="9352"/>
            <w:tcBorders>
              <w:top w:val="none" w:color="FFFFFF" w:sz="0"/>
              <w:left w:val="none" w:color="FFFFFF" w:sz="0"/>
              <w:bottom w:val="none" w:color="FFFFFF" w:sz="0"/>
              <w:right w:val="single" w:color="E5E7EB" w:sz="4"/>
            </w:tcBorders>
            <w:shd w:fill="F9FAFB" w:val="clear"/>
            <w:tcMar>
              <w:top w:type="dxa" w:w="80"/>
              <w:left w:type="dxa" w:w="160"/>
              <w:bottom w:type="dxa" w:w="80"/>
              <w:right w:type="dxa" w:w="120"/>
            </w:tcMar>
          </w:tcPr>
          <w:p>
            <w:pPr>
              <w:spacing w:after="0" w:before="0"/>
              <w:jc w:val="left"/>
            </w:pPr>
            <w:r>
              <w:rPr>
                <w:rFonts w:ascii="Calibri" w:cs="Calibri" w:eastAsia="Calibri" w:hAnsi="Calibri"/>
                <w:b w:val="false"/>
                <w:bCs w:val="false"/>
                <w:i w:val="false"/>
                <w:iCs w:val="false"/>
                <w:color w:val="1F2937"/>
                <w:sz w:val="18"/>
                <w:szCs w:val="18"/>
              </w:rPr>
              <w:t xml:space="preserve">Saved credentials are stored in the browser's local storage on the device you are using — not on Integricity's servers, and not synced between devices. If you set up a client on your laptop, those saved credentials will not appear if you open the report builder on a different computer or in a different browser.</w:t>
            </w:r>
          </w:p>
        </w:tc>
      </w:tr>
    </w:tbl>
    <w:p>
      <w:pPr>
        <w:spacing w:after="200" w:before="0"/>
        <w:jc w:val="left"/>
      </w:pPr>
    </w:p>
    <w:p>
      <w:pPr>
        <w:pStyle w:val="Heading1"/>
        <w:pBdr>
          <w:bottom w:val="single" w:color="1A8070" w:sz="8"/>
        </w:pBdr>
        <w:spacing w:after="120" w:before="360"/>
      </w:pPr>
      <w:r>
        <w:rPr>
          <w:rFonts w:ascii="Calibri" w:cs="Calibri" w:eastAsia="Calibri" w:hAnsi="Calibri"/>
          <w:b/>
          <w:bCs/>
          <w:i w:val="false"/>
          <w:iCs w:val="false"/>
          <w:color w:val="1A8070"/>
          <w:sz w:val="30"/>
          <w:szCs w:val="30"/>
        </w:rPr>
        <w:t xml:space="preserve">Security Notes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Application permissions, not delegated: the app registration operates as a service identity — no user needs to be signed in when data is pulled.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Credentials are session-only: Tenant ID, Client ID, and Client Secret are held in browser memory (and optionally browser local storage, per the note above) — never sent to or stored on Integricity's servers.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All permissions are read-only: no write permissions are requested. The app cannot modify any data in the client tenant.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Secret rotation: client secrets expire after the period chosen at creation. Set a recurring calendar reminder 2 weeks before expiry.</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Principle of least privilege: only the 12 permissions listed above are required. Do not grant additional permissions.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Audit trail: every API call made by the app registration appears in the client's own Entra ID sign-in logs, attributed to the app name.</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Troubleshooting</w:t>
      </w:r>
    </w:p>
    <w:p>
      <w:pPr>
        <w:pStyle w:val="Heading2"/>
        <w:spacing w:after="80" w:before="240"/>
      </w:pPr>
      <w:r>
        <w:rPr>
          <w:rFonts w:ascii="Calibri" w:cs="Calibri" w:eastAsia="Calibri" w:hAnsi="Calibri"/>
          <w:b/>
          <w:bCs/>
          <w:i w:val="false"/>
          <w:iCs w:val="false"/>
          <w:color w:val="1F2937"/>
          <w:sz w:val="24"/>
          <w:szCs w:val="24"/>
        </w:rPr>
        <w:t xml:space="preserve">Client Secret Renewal</w:t>
      </w:r>
    </w:p>
    <w:p>
      <w:pPr>
        <w:spacing w:after="120" w:before="0"/>
        <w:jc w:val="left"/>
      </w:pPr>
      <w:r>
        <w:rPr>
          <w:rFonts w:ascii="Calibri" w:cs="Calibri" w:eastAsia="Calibri" w:hAnsi="Calibri"/>
          <w:b w:val="false"/>
          <w:bCs w:val="false"/>
          <w:i w:val="false"/>
          <w:iCs w:val="false"/>
          <w:color w:val="1F2937"/>
          <w:sz w:val="19"/>
          <w:szCs w:val="19"/>
        </w:rPr>
        <w:t xml:space="preserve">Client secrets expire after the period chosen at creation (12 or 24 months). When a secret expires, the report builder will return an authentication error. To renew:</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1. Sign in to entra.microsoft.com for the client tenant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2. Go to App registrations → Integricity MSP Report Builder → Certificates &amp; secrets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3. Click New client secret, set description and expiry, click Add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4. Copy the new Value immediately</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5. Update your secure record for this client's credentials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6. Delete the old expired secret (optional but recommended)</w:t>
      </w:r>
    </w:p>
    <w:p>
      <w:pPr>
        <w:spacing w:after="120"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Symptom</w:t>
            </w:r>
          </w:p>
        </w:tc>
        <w:tc>
          <w:tcPr>
            <w:tcW w:type="dxa" w:w="6552"/>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Fix</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Authentication failed</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Check the Tenant ID, Client ID, and Client Secret are correct. Ensure the secret has not expired. Try generating a new secret.</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Secure Score not showing</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SecurityEvents.Read.All. Verify admin consent was granted for this permission.</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Licence count shows no available total</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Organization.Read.All with admin consent. Without it, only the assigned count is shown (e.g. "73") with no available total or progress bar.</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SharePoint data unavailable</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Reports.Read.All. Confirm admin consent is granted. Data can take up to 48 hours to populate in new tenants.</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Risky users not showing</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IdentityRiskyUser.Read.All, and the tenant must have Microsoft Entra ID P2 or Microsoft 365 E5 licences.</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Sign-in logs empty</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AuditLog.Read.All. Logs are retained 30 days on most tiers (90 days with Entra ID P2). No overseas sign-ins in the period also results in an empty list.</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User data not showing</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User.Read.All with admin consent granted.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Shared mailbox count seems too low or high</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Shared mailboxes are detected as enabled, non-guest, mail-enabled accounts with no licence assigned — this is an inferred count, not a Graph API mailbox type flag.</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Admin roles not showing</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RoleManagement.Read.Directory with admin consent granted.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Licence names showing as GUIDs</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User.Read.All (for subscribedSkus). If still showing GUIDs after granting consent, regenerate the report.</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M365 Group / Security Group counts missing</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Group.Read.All with admin consent granted.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Forbidden on all data</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Admin consent has not been granted. Return to API permissions and click Grant admin consent for [Tenant Name].</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Saved credentials missing on a different computer</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Expected — saved credentials live in that browser's local storage on that device only. Re-enter the three values on the new device.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2026-08-03T01:51:05.508Z</dcterms:created>
  <dcterms:modified xsi:type="dcterms:W3CDTF">2026-08-03T01:51:05.508Z</dcterms:modified>
</cp:coreProperties>
</file>

<file path=docProps/custom.xml><?xml version="1.0" encoding="utf-8"?>
<Properties xmlns="http://schemas.openxmlformats.org/officeDocument/2006/custom-properties" xmlns:vt="http://schemas.openxmlformats.org/officeDocument/2006/docPropsVTypes"/>
</file>