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400"/>
              <w:left w:type="dxa" w:w="300"/>
              <w:bottom w:type="dxa" w:w="400"/>
              <w:right w:type="dxa" w:w="300"/>
            </w:tcMar>
          </w:tcPr>
          <w:p>
            <w:pPr>
              <w:spacing w:after="80" w:before="0"/>
              <w:jc w:val="left"/>
            </w:pPr>
            <w:r>
              <w:rPr>
                <w:rFonts w:ascii="Calibri" w:cs="Calibri" w:eastAsia="Calibri" w:hAnsi="Calibri"/>
                <w:b/>
                <w:bCs/>
                <w:i w:val="false"/>
                <w:iCs w:val="false"/>
                <w:color w:val="FFFFFF"/>
                <w:sz w:val="26"/>
                <w:szCs w:val="26"/>
              </w:rPr>
              <w:t xml:space="preserve">Integricity Technology</w:t>
            </w:r>
          </w:p>
          <w:p>
            <w:pPr>
              <w:spacing w:after="80" w:before="0"/>
              <w:jc w:val="left"/>
            </w:pPr>
            <w:r>
              <w:rPr>
                <w:rFonts w:ascii="Calibri" w:cs="Calibri" w:eastAsia="Calibri" w:hAnsi="Calibri"/>
                <w:b/>
                <w:bCs/>
                <w:i w:val="false"/>
                <w:iCs w:val="false"/>
                <w:color w:val="FFFFFF"/>
                <w:sz w:val="52"/>
                <w:szCs w:val="52"/>
              </w:rPr>
              <w:t xml:space="preserve">MSP Report Builder</w:t>
            </w:r>
          </w:p>
          <w:p>
            <w:pPr>
              <w:spacing w:after="120" w:before="0"/>
              <w:jc w:val="left"/>
            </w:pPr>
            <w:r>
              <w:rPr>
                <w:rFonts w:ascii="Calibri" w:cs="Calibri" w:eastAsia="Calibri" w:hAnsi="Calibri"/>
                <w:b w:val="false"/>
                <w:bCs w:val="false"/>
                <w:i w:val="false"/>
                <w:iCs w:val="false"/>
                <w:color w:val="AACCEE"/>
                <w:sz w:val="28"/>
                <w:szCs w:val="28"/>
              </w:rPr>
              <w:t xml:space="preserve">User Guide</w:t>
            </w:r>
          </w:p>
          <w:p>
            <w:pPr>
              <w:spacing w:after="0" w:before="0"/>
              <w:jc w:val="left"/>
            </w:pPr>
            <w:r>
              <w:rPr>
                <w:rFonts w:ascii="Calibri" w:cs="Calibri" w:eastAsia="Calibri" w:hAnsi="Calibri"/>
                <w:b w:val="false"/>
                <w:bCs w:val="false"/>
                <w:i w:val="false"/>
                <w:iCs w:val="false"/>
                <w:color w:val="7799BB"/>
                <w:sz w:val="18"/>
                <w:szCs w:val="18"/>
              </w:rPr>
              <w:t xml:space="preserve">August 2026</w:t>
            </w:r>
          </w:p>
        </w:tc>
      </w:tr>
    </w:tbl>
    <w:p>
      <w:pPr>
        <w:spacing w:after="32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1. What This Tool Does</w:t>
      </w:r>
    </w:p>
    <w:p>
      <w:pPr>
        <w:spacing w:after="120" w:before="0"/>
        <w:jc w:val="left"/>
      </w:pPr>
      <w:r>
        <w:rPr>
          <w:rFonts w:ascii="Calibri" w:cs="Calibri" w:eastAsia="Calibri" w:hAnsi="Calibri"/>
          <w:b w:val="false"/>
          <w:bCs w:val="false"/>
          <w:i w:val="false"/>
          <w:iCs w:val="false"/>
          <w:color w:val="1F2937"/>
          <w:sz w:val="19"/>
          <w:szCs w:val="19"/>
        </w:rPr>
        <w:t xml:space="preserve">The MSP Report Builder generates a monthly IT health report for a client's Microsoft 365 and Intune tenant. It pulls live data directly from Microsoft — device compliance, security posture, patch status, user activity, SharePoint usage — and produces a formatted report you can view on screen, print to PDF, or export as a Word document to send to the client.</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This guide covers day-to-day use of the report builder. If you are setting up a new client tenant for the first time, see the separate Setup Guide, which covers the Microsoft Entra ID app registration steps.</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2. Before You Start</w:t>
      </w:r>
    </w:p>
    <w:p>
      <w:pPr>
        <w:spacing w:after="120" w:before="0"/>
        <w:jc w:val="left"/>
      </w:pPr>
      <w:r>
        <w:rPr>
          <w:rFonts w:ascii="Calibri" w:cs="Calibri" w:eastAsia="Calibri" w:hAnsi="Calibri"/>
          <w:b w:val="false"/>
          <w:bCs w:val="false"/>
          <w:i w:val="false"/>
          <w:iCs w:val="false"/>
          <w:color w:val="1F2937"/>
          <w:sz w:val="19"/>
          <w:szCs w:val="19"/>
        </w:rPr>
        <w:t xml:space="preserve">Each client tenant needs a one-off setup before it can be used with the report builder — an app registration in their Microsoft Entra ID with 12 read-only permissions granted. This only needs to be done once per client. See the Setup Guide for these steps.</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Once set up, you will have three values for that client, saved somewhere secure (e.g. a password manager):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Tenant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Client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Client Secret</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3. Generating a Report</w:t>
      </w:r>
    </w:p>
    <w:p>
      <w:pPr>
        <w:spacing w:after="60" w:before="160"/>
      </w:pPr>
      <w:r>
        <w:rPr>
          <w:rFonts w:ascii="Calibri" w:cs="Calibri" w:eastAsia="Calibri" w:hAnsi="Calibri"/>
          <w:b/>
          <w:bCs/>
          <w:i w:val="false"/>
          <w:iCs w:val="false"/>
          <w:color w:val="0D7CC4"/>
          <w:sz w:val="19"/>
          <w:szCs w:val="19"/>
        </w:rPr>
        <w:t xml:space="preserve">Step 1 — </w:t>
      </w:r>
      <w:r>
        <w:rPr>
          <w:rFonts w:ascii="Calibri" w:cs="Calibri" w:eastAsia="Calibri" w:hAnsi="Calibri"/>
          <w:b/>
          <w:bCs/>
          <w:i w:val="false"/>
          <w:iCs w:val="false"/>
          <w:color w:val="1F2937"/>
          <w:sz w:val="19"/>
          <w:szCs w:val="19"/>
        </w:rPr>
        <w:t xml:space="preserve">Open the report builder</w:t>
      </w:r>
    </w:p>
    <w:p>
      <w:pPr>
        <w:spacing w:after="120" w:before="0"/>
        <w:jc w:val="left"/>
      </w:pPr>
      <w:r>
        <w:rPr>
          <w:rFonts w:ascii="Calibri" w:cs="Calibri" w:eastAsia="Calibri" w:hAnsi="Calibri"/>
          <w:b w:val="false"/>
          <w:bCs w:val="false"/>
          <w:i w:val="false"/>
          <w:iCs w:val="false"/>
          <w:color w:val="6B7280"/>
          <w:sz w:val="19"/>
          <w:szCs w:val="19"/>
        </w:rPr>
        <w:t xml:space="preserve">Go to https://integricitymsp.netlify.app in any modern browser.</w:t>
      </w:r>
    </w:p>
    <w:p>
      <w:pPr>
        <w:spacing w:after="60" w:before="160"/>
      </w:pPr>
      <w:r>
        <w:rPr>
          <w:rFonts w:ascii="Calibri" w:cs="Calibri" w:eastAsia="Calibri" w:hAnsi="Calibri"/>
          <w:b/>
          <w:bCs/>
          <w:i w:val="false"/>
          <w:iCs w:val="false"/>
          <w:color w:val="0D7CC4"/>
          <w:sz w:val="19"/>
          <w:szCs w:val="19"/>
        </w:rPr>
        <w:t xml:space="preserve">Step 2 — </w:t>
      </w:r>
      <w:r>
        <w:rPr>
          <w:rFonts w:ascii="Calibri" w:cs="Calibri" w:eastAsia="Calibri" w:hAnsi="Calibri"/>
          <w:b/>
          <w:bCs/>
          <w:i w:val="false"/>
          <w:iCs w:val="false"/>
          <w:color w:val="1F2937"/>
          <w:sz w:val="19"/>
          <w:szCs w:val="19"/>
        </w:rPr>
        <w:t xml:space="preserve">Enter or select credentials</w:t>
      </w:r>
    </w:p>
    <w:p>
      <w:pPr>
        <w:spacing w:after="120" w:before="0"/>
        <w:jc w:val="left"/>
      </w:pPr>
      <w:r>
        <w:rPr>
          <w:rFonts w:ascii="Calibri" w:cs="Calibri" w:eastAsia="Calibri" w:hAnsi="Calibri"/>
          <w:b w:val="false"/>
          <w:bCs w:val="false"/>
          <w:i w:val="false"/>
          <w:iCs w:val="false"/>
          <w:color w:val="6B7280"/>
          <w:sz w:val="19"/>
          <w:szCs w:val="19"/>
        </w:rPr>
        <w:t xml:space="preserve">Choose a previously saved client from the list, or enter a new Tenant ID, Client ID, and Client Secret along with the client's display name.</w:t>
      </w:r>
    </w:p>
    <w:p>
      <w:pPr>
        <w:spacing w:after="60" w:before="160"/>
      </w:pPr>
      <w:r>
        <w:rPr>
          <w:rFonts w:ascii="Calibri" w:cs="Calibri" w:eastAsia="Calibri" w:hAnsi="Calibri"/>
          <w:b/>
          <w:bCs/>
          <w:i w:val="false"/>
          <w:iCs w:val="false"/>
          <w:color w:val="0D7CC4"/>
          <w:sz w:val="19"/>
          <w:szCs w:val="19"/>
        </w:rPr>
        <w:t xml:space="preserve">Step 3 — </w:t>
      </w:r>
      <w:r>
        <w:rPr>
          <w:rFonts w:ascii="Calibri" w:cs="Calibri" w:eastAsia="Calibri" w:hAnsi="Calibri"/>
          <w:b/>
          <w:bCs/>
          <w:i w:val="false"/>
          <w:iCs w:val="false"/>
          <w:color w:val="1F2937"/>
          <w:sz w:val="19"/>
          <w:szCs w:val="19"/>
        </w:rPr>
        <w:t xml:space="preserve">Set the report period</w:t>
      </w:r>
    </w:p>
    <w:p>
      <w:pPr>
        <w:spacing w:after="120" w:before="0"/>
        <w:jc w:val="left"/>
      </w:pPr>
      <w:r>
        <w:rPr>
          <w:rFonts w:ascii="Calibri" w:cs="Calibri" w:eastAsia="Calibri" w:hAnsi="Calibri"/>
          <w:b w:val="false"/>
          <w:bCs w:val="false"/>
          <w:i w:val="false"/>
          <w:iCs w:val="false"/>
          <w:color w:val="6B7280"/>
          <w:sz w:val="19"/>
          <w:szCs w:val="19"/>
        </w:rPr>
        <w:t xml:space="preserve">Enter the From and To dates for the reporting period (typically a calendar month), and the account manager's name.</w:t>
      </w:r>
    </w:p>
    <w:p>
      <w:pPr>
        <w:spacing w:after="60" w:before="160"/>
      </w:pPr>
      <w:r>
        <w:rPr>
          <w:rFonts w:ascii="Calibri" w:cs="Calibri" w:eastAsia="Calibri" w:hAnsi="Calibri"/>
          <w:b/>
          <w:bCs/>
          <w:i w:val="false"/>
          <w:iCs w:val="false"/>
          <w:color w:val="0D7CC4"/>
          <w:sz w:val="19"/>
          <w:szCs w:val="19"/>
        </w:rPr>
        <w:t xml:space="preserve">Step 4 — </w:t>
      </w:r>
      <w:r>
        <w:rPr>
          <w:rFonts w:ascii="Calibri" w:cs="Calibri" w:eastAsia="Calibri" w:hAnsi="Calibri"/>
          <w:b/>
          <w:bCs/>
          <w:i w:val="false"/>
          <w:iCs w:val="false"/>
          <w:color w:val="1F2937"/>
          <w:sz w:val="19"/>
          <w:szCs w:val="19"/>
        </w:rPr>
        <w:t xml:space="preserve">Pull data</w:t>
      </w:r>
    </w:p>
    <w:p>
      <w:pPr>
        <w:spacing w:after="120" w:before="0"/>
        <w:jc w:val="left"/>
      </w:pPr>
      <w:r>
        <w:rPr>
          <w:rFonts w:ascii="Calibri" w:cs="Calibri" w:eastAsia="Calibri" w:hAnsi="Calibri"/>
          <w:b w:val="false"/>
          <w:bCs w:val="false"/>
          <w:i w:val="false"/>
          <w:iCs w:val="false"/>
          <w:color w:val="6B7280"/>
          <w:sz w:val="19"/>
          <w:szCs w:val="19"/>
        </w:rPr>
        <w:t xml:space="preserve">Click Pull data. The app will call Microsoft Graph and retrieve all metrics — this usually takes 3 to 8 seconds depending on tenant size.</w:t>
      </w:r>
    </w:p>
    <w:p>
      <w:pPr>
        <w:spacing w:after="60" w:before="160"/>
      </w:pPr>
      <w:r>
        <w:rPr>
          <w:rFonts w:ascii="Calibri" w:cs="Calibri" w:eastAsia="Calibri" w:hAnsi="Calibri"/>
          <w:b/>
          <w:bCs/>
          <w:i w:val="false"/>
          <w:iCs w:val="false"/>
          <w:color w:val="0D7CC4"/>
          <w:sz w:val="19"/>
          <w:szCs w:val="19"/>
        </w:rPr>
        <w:t xml:space="preserve">Step 5 — </w:t>
      </w:r>
      <w:r>
        <w:rPr>
          <w:rFonts w:ascii="Calibri" w:cs="Calibri" w:eastAsia="Calibri" w:hAnsi="Calibri"/>
          <w:b/>
          <w:bCs/>
          <w:i w:val="false"/>
          <w:iCs w:val="false"/>
          <w:color w:val="1F2937"/>
          <w:sz w:val="19"/>
          <w:szCs w:val="19"/>
        </w:rPr>
        <w:t xml:space="preserve">Review and add commentary</w:t>
      </w:r>
    </w:p>
    <w:p>
      <w:pPr>
        <w:spacing w:after="120" w:before="0"/>
        <w:jc w:val="left"/>
      </w:pPr>
      <w:r>
        <w:rPr>
          <w:rFonts w:ascii="Calibri" w:cs="Calibri" w:eastAsia="Calibri" w:hAnsi="Calibri"/>
          <w:b w:val="false"/>
          <w:bCs w:val="false"/>
          <w:i w:val="false"/>
          <w:iCs w:val="false"/>
          <w:color w:val="6B7280"/>
          <w:sz w:val="19"/>
          <w:szCs w:val="19"/>
        </w:rPr>
        <w:t xml:space="preserve">KPI cards for every section are shown. Add any manual commentary in the free-text fields provided (e.g. notable incidents, upcoming projects) before generating the full report.</w:t>
      </w:r>
    </w:p>
    <w:p>
      <w:pPr>
        <w:spacing w:after="60" w:before="160"/>
      </w:pPr>
      <w:r>
        <w:rPr>
          <w:rFonts w:ascii="Calibri" w:cs="Calibri" w:eastAsia="Calibri" w:hAnsi="Calibri"/>
          <w:b/>
          <w:bCs/>
          <w:i w:val="false"/>
          <w:iCs w:val="false"/>
          <w:color w:val="0D7CC4"/>
          <w:sz w:val="19"/>
          <w:szCs w:val="19"/>
        </w:rPr>
        <w:t xml:space="preserve">Step 6 — </w:t>
      </w:r>
      <w:r>
        <w:rPr>
          <w:rFonts w:ascii="Calibri" w:cs="Calibri" w:eastAsia="Calibri" w:hAnsi="Calibri"/>
          <w:b/>
          <w:bCs/>
          <w:i w:val="false"/>
          <w:iCs w:val="false"/>
          <w:color w:val="1F2937"/>
          <w:sz w:val="19"/>
          <w:szCs w:val="19"/>
        </w:rPr>
        <w:t xml:space="preserve">View the full report</w:t>
      </w:r>
    </w:p>
    <w:p>
      <w:pPr>
        <w:spacing w:after="120" w:before="0"/>
        <w:jc w:val="left"/>
      </w:pPr>
      <w:r>
        <w:rPr>
          <w:rFonts w:ascii="Calibri" w:cs="Calibri" w:eastAsia="Calibri" w:hAnsi="Calibri"/>
          <w:b w:val="false"/>
          <w:bCs w:val="false"/>
          <w:i w:val="false"/>
          <w:iCs w:val="false"/>
          <w:color w:val="6B7280"/>
          <w:sz w:val="19"/>
          <w:szCs w:val="19"/>
        </w:rPr>
        <w:t xml:space="preserve">Click Build report. The complete formatted report renders on screen with all sections, in order: Executive Summary, Device &amp; Asset Management, Security Posture, Patch Status, User Data, SharePoint / MS Teams, Ticketing &amp; Support, Recommendations &amp; Opportunities, and Security Risk Register.</w:t>
      </w:r>
    </w:p>
    <w:p>
      <w:pPr>
        <w:spacing w:after="60" w:before="160"/>
      </w:pPr>
      <w:r>
        <w:rPr>
          <w:rFonts w:ascii="Calibri" w:cs="Calibri" w:eastAsia="Calibri" w:hAnsi="Calibri"/>
          <w:b/>
          <w:bCs/>
          <w:i w:val="false"/>
          <w:iCs w:val="false"/>
          <w:color w:val="0D7CC4"/>
          <w:sz w:val="19"/>
          <w:szCs w:val="19"/>
        </w:rPr>
        <w:t xml:space="preserve">Step 7 — </w:t>
      </w:r>
      <w:r>
        <w:rPr>
          <w:rFonts w:ascii="Calibri" w:cs="Calibri" w:eastAsia="Calibri" w:hAnsi="Calibri"/>
          <w:b/>
          <w:bCs/>
          <w:i w:val="false"/>
          <w:iCs w:val="false"/>
          <w:color w:val="1F2937"/>
          <w:sz w:val="19"/>
          <w:szCs w:val="19"/>
        </w:rPr>
        <w:t xml:space="preserve">Export</w:t>
      </w:r>
    </w:p>
    <w:p>
      <w:pPr>
        <w:spacing w:after="120" w:before="0"/>
        <w:jc w:val="left"/>
      </w:pPr>
      <w:r>
        <w:rPr>
          <w:rFonts w:ascii="Calibri" w:cs="Calibri" w:eastAsia="Calibri" w:hAnsi="Calibri"/>
          <w:b w:val="false"/>
          <w:bCs w:val="false"/>
          <w:i w:val="false"/>
          <w:iCs w:val="false"/>
          <w:color w:val="6B7280"/>
          <w:sz w:val="19"/>
          <w:szCs w:val="19"/>
        </w:rPr>
        <w:t xml:space="preserve">Use the Export to Word button to download a formatted .docx file, or use your browser's Print function (Ctrl+P / Cmd+P) and choose Save as PDF.</w:t>
      </w:r>
    </w:p>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4. Understanding the Report Sections</w:t>
      </w:r>
    </w:p>
    <w:p>
      <w:pPr>
        <w:pStyle w:val="Heading2"/>
        <w:spacing w:after="80" w:before="240"/>
      </w:pPr>
      <w:r>
        <w:rPr>
          <w:rFonts w:ascii="Calibri" w:cs="Calibri" w:eastAsia="Calibri" w:hAnsi="Calibri"/>
          <w:b/>
          <w:bCs/>
          <w:i w:val="false"/>
          <w:iCs w:val="false"/>
          <w:color w:val="1F2937"/>
          <w:sz w:val="24"/>
          <w:szCs w:val="24"/>
        </w:rPr>
        <w:t xml:space="preserve">Executive Summary</w:t>
      </w:r>
    </w:p>
    <w:p>
      <w:pPr>
        <w:spacing w:after="120" w:before="0"/>
        <w:jc w:val="left"/>
      </w:pPr>
      <w:r>
        <w:rPr>
          <w:rFonts w:ascii="Calibri" w:cs="Calibri" w:eastAsia="Calibri" w:hAnsi="Calibri"/>
          <w:b w:val="false"/>
          <w:bCs w:val="false"/>
          <w:i w:val="false"/>
          <w:iCs w:val="false"/>
          <w:color w:val="1F2937"/>
          <w:sz w:val="19"/>
          <w:szCs w:val="19"/>
        </w:rPr>
        <w:t xml:space="preserve">A narrative overview built from the manual commentary fields on the wizard’s Review step — general overview, highlights, concerns, and upcoming projects. Only appears if at least one of these fields is filled in.</w:t>
      </w:r>
    </w:p>
    <w:p>
      <w:pPr>
        <w:pStyle w:val="Heading2"/>
        <w:spacing w:after="80" w:before="240"/>
      </w:pPr>
      <w:r>
        <w:rPr>
          <w:rFonts w:ascii="Calibri" w:cs="Calibri" w:eastAsia="Calibri" w:hAnsi="Calibri"/>
          <w:b/>
          <w:bCs/>
          <w:i w:val="false"/>
          <w:iCs w:val="false"/>
          <w:color w:val="1F2937"/>
          <w:sz w:val="24"/>
          <w:szCs w:val="24"/>
        </w:rPr>
        <w:t xml:space="preserve">Device &amp; Asset Management</w:t>
      </w:r>
    </w:p>
    <w:p>
      <w:pPr>
        <w:spacing w:after="120" w:before="0"/>
        <w:jc w:val="left"/>
      </w:pPr>
      <w:r>
        <w:rPr>
          <w:rFonts w:ascii="Calibri" w:cs="Calibri" w:eastAsia="Calibri" w:hAnsi="Calibri"/>
          <w:b w:val="false"/>
          <w:bCs w:val="false"/>
          <w:i w:val="false"/>
          <w:iCs w:val="false"/>
          <w:color w:val="1F2937"/>
          <w:sz w:val="19"/>
          <w:szCs w:val="19"/>
        </w:rPr>
        <w:t xml:space="preserve">Operating system breakdown, compliance status, encryption, antivirus, low disk space, and stale devices (no check-in for 90+ days). Non-compliant and unencrypted devices are listed individually with their assigned user.</w:t>
      </w:r>
    </w:p>
    <w:p>
      <w:pPr>
        <w:pStyle w:val="Heading2"/>
        <w:spacing w:after="80" w:before="240"/>
      </w:pPr>
      <w:r>
        <w:rPr>
          <w:rFonts w:ascii="Calibri" w:cs="Calibri" w:eastAsia="Calibri" w:hAnsi="Calibri"/>
          <w:b/>
          <w:bCs/>
          <w:i w:val="false"/>
          <w:iCs w:val="false"/>
          <w:color w:val="1F2937"/>
          <w:sz w:val="24"/>
          <w:szCs w:val="24"/>
        </w:rPr>
        <w:t xml:space="preserve">Security Posture</w:t>
      </w:r>
    </w:p>
    <w:p>
      <w:pPr>
        <w:spacing w:after="120" w:before="0"/>
        <w:jc w:val="left"/>
      </w:pPr>
      <w:r>
        <w:rPr>
          <w:rFonts w:ascii="Calibri" w:cs="Calibri" w:eastAsia="Calibri" w:hAnsi="Calibri"/>
          <w:b w:val="false"/>
          <w:bCs w:val="false"/>
          <w:i w:val="false"/>
          <w:iCs w:val="false"/>
          <w:color w:val="1F2937"/>
          <w:sz w:val="19"/>
          <w:szCs w:val="19"/>
        </w:rPr>
        <w:t xml:space="preserve">Microsoft Secure Score, Conditional Access policy status, authentication methods in use, and any risky user accounts flagged by Entra ID Protection.</w:t>
      </w:r>
    </w:p>
    <w:p>
      <w:pPr>
        <w:pStyle w:val="Heading2"/>
        <w:spacing w:after="80" w:before="240"/>
      </w:pPr>
      <w:r>
        <w:rPr>
          <w:rFonts w:ascii="Calibri" w:cs="Calibri" w:eastAsia="Calibri" w:hAnsi="Calibri"/>
          <w:b/>
          <w:bCs/>
          <w:i w:val="false"/>
          <w:iCs w:val="false"/>
          <w:color w:val="1F2937"/>
          <w:sz w:val="24"/>
          <w:szCs w:val="24"/>
        </w:rPr>
        <w:t xml:space="preserve">Patch Status</w:t>
      </w:r>
    </w:p>
    <w:p>
      <w:pPr>
        <w:spacing w:after="120" w:before="0"/>
        <w:jc w:val="left"/>
      </w:pPr>
      <w:r>
        <w:rPr>
          <w:rFonts w:ascii="Calibri" w:cs="Calibri" w:eastAsia="Calibri" w:hAnsi="Calibri"/>
          <w:b w:val="false"/>
          <w:bCs w:val="false"/>
          <w:i w:val="false"/>
          <w:iCs w:val="false"/>
          <w:color w:val="1F2937"/>
          <w:sz w:val="19"/>
          <w:szCs w:val="19"/>
        </w:rPr>
        <w:t xml:space="preserve">Devices grouped by how current their Windows patch level is — current, 30+ days behind, or 90+ days behind — based on last Intune check-in.</w:t>
      </w:r>
    </w:p>
    <w:p>
      <w:pPr>
        <w:pStyle w:val="Heading2"/>
        <w:spacing w:after="80" w:before="240"/>
      </w:pPr>
      <w:r>
        <w:rPr>
          <w:rFonts w:ascii="Calibri" w:cs="Calibri" w:eastAsia="Calibri" w:hAnsi="Calibri"/>
          <w:b/>
          <w:bCs/>
          <w:i w:val="false"/>
          <w:iCs w:val="false"/>
          <w:color w:val="1F2937"/>
          <w:sz w:val="24"/>
          <w:szCs w:val="24"/>
        </w:rPr>
        <w:t xml:space="preserve">User Data</w:t>
      </w:r>
    </w:p>
    <w:p>
      <w:pPr>
        <w:spacing w:after="120" w:before="0"/>
        <w:jc w:val="left"/>
      </w:pPr>
      <w:r>
        <w:rPr>
          <w:rFonts w:ascii="Calibri" w:cs="Calibri" w:eastAsia="Calibri" w:hAnsi="Calibri"/>
          <w:b w:val="false"/>
          <w:bCs w:val="false"/>
          <w:i w:val="false"/>
          <w:iCs w:val="false"/>
          <w:color w:val="1F2937"/>
          <w:sz w:val="19"/>
          <w:szCs w:val="19"/>
        </w:rPr>
        <w:t xml:space="preserve">Total licensed users, shared mailboxes, guest accounts, inactive accounts (90+ days), admin role holders, unexpected overseas sign-ins, and licence assignment — with over-subscribed licences shown in red.</w:t>
      </w:r>
    </w:p>
    <w:p>
      <w:pPr>
        <w:pStyle w:val="Heading2"/>
        <w:spacing w:after="80" w:before="240"/>
      </w:pPr>
      <w:r>
        <w:rPr>
          <w:rFonts w:ascii="Calibri" w:cs="Calibri" w:eastAsia="Calibri" w:hAnsi="Calibri"/>
          <w:b/>
          <w:bCs/>
          <w:i w:val="false"/>
          <w:iCs w:val="false"/>
          <w:color w:val="1F2937"/>
          <w:sz w:val="24"/>
          <w:szCs w:val="24"/>
        </w:rPr>
        <w:t xml:space="preserve">SharePoint / MS Teams</w:t>
      </w:r>
    </w:p>
    <w:p>
      <w:pPr>
        <w:spacing w:after="120" w:before="0"/>
        <w:jc w:val="left"/>
      </w:pPr>
      <w:r>
        <w:rPr>
          <w:rFonts w:ascii="Calibri" w:cs="Calibri" w:eastAsia="Calibri" w:hAnsi="Calibri"/>
          <w:b w:val="false"/>
          <w:bCs w:val="false"/>
          <w:i w:val="false"/>
          <w:iCs w:val="false"/>
          <w:color w:val="1F2937"/>
          <w:sz w:val="19"/>
          <w:szCs w:val="19"/>
        </w:rPr>
        <w:t xml:space="preserve">Site counts, storage used, sites with no recorded activity in 180+ days, and Microsoft 365 Group and Security Group counts.</w:t>
      </w:r>
    </w:p>
    <w:p>
      <w:pPr>
        <w:pStyle w:val="Heading2"/>
        <w:spacing w:after="80" w:before="240"/>
      </w:pPr>
      <w:r>
        <w:rPr>
          <w:rFonts w:ascii="Calibri" w:cs="Calibri" w:eastAsia="Calibri" w:hAnsi="Calibri"/>
          <w:b/>
          <w:bCs/>
          <w:i w:val="false"/>
          <w:iCs w:val="false"/>
          <w:color w:val="1F2937"/>
          <w:sz w:val="24"/>
          <w:szCs w:val="24"/>
        </w:rPr>
        <w:t xml:space="preserve">Ticketing &amp; Support</w:t>
      </w:r>
    </w:p>
    <w:p>
      <w:pPr>
        <w:spacing w:after="120" w:before="0"/>
        <w:jc w:val="left"/>
      </w:pPr>
      <w:r>
        <w:rPr>
          <w:rFonts w:ascii="Calibri" w:cs="Calibri" w:eastAsia="Calibri" w:hAnsi="Calibri"/>
          <w:b w:val="false"/>
          <w:bCs w:val="false"/>
          <w:i w:val="false"/>
          <w:iCs w:val="false"/>
          <w:color w:val="1F2937"/>
          <w:sz w:val="19"/>
          <w:szCs w:val="19"/>
        </w:rPr>
        <w:t xml:space="preserve">Support ticket counts (opened, closed, pending), average response and resolution times, and any P1 incident for the period — all entered manually on the wizard’s Review step. Only appears if at least one ticketing field is filled in.</w:t>
      </w:r>
    </w:p>
    <w:p>
      <w:pPr>
        <w:pStyle w:val="Heading2"/>
        <w:spacing w:after="80" w:before="240"/>
      </w:pPr>
      <w:r>
        <w:rPr>
          <w:rFonts w:ascii="Calibri" w:cs="Calibri" w:eastAsia="Calibri" w:hAnsi="Calibri"/>
          <w:b/>
          <w:bCs/>
          <w:i w:val="false"/>
          <w:iCs w:val="false"/>
          <w:color w:val="1F2937"/>
          <w:sz w:val="24"/>
          <w:szCs w:val="24"/>
        </w:rPr>
        <w:t xml:space="preserve">Recommendations &amp; Opportunities</w:t>
      </w:r>
    </w:p>
    <w:p>
      <w:pPr>
        <w:spacing w:after="120" w:before="0"/>
        <w:jc w:val="left"/>
      </w:pPr>
      <w:r>
        <w:rPr>
          <w:rFonts w:ascii="Calibri" w:cs="Calibri" w:eastAsia="Calibri" w:hAnsi="Calibri"/>
          <w:b w:val="false"/>
          <w:bCs w:val="false"/>
          <w:i w:val="false"/>
          <w:iCs w:val="false"/>
          <w:color w:val="1F2937"/>
          <w:sz w:val="19"/>
          <w:szCs w:val="19"/>
        </w:rPr>
        <w:t xml:space="preserve">A personal note plus suggested improvements, cost-saving opportunities, and tech roadmap items — all entered manually on the wizard’s Review step. Only appears if at least one of these fields is filled in.</w:t>
      </w:r>
    </w:p>
    <w:p>
      <w:pPr>
        <w:pStyle w:val="Heading2"/>
        <w:spacing w:after="80" w:before="240"/>
      </w:pPr>
      <w:r>
        <w:rPr>
          <w:rFonts w:ascii="Calibri" w:cs="Calibri" w:eastAsia="Calibri" w:hAnsi="Calibri"/>
          <w:b/>
          <w:bCs/>
          <w:i w:val="false"/>
          <w:iCs w:val="false"/>
          <w:color w:val="1F2937"/>
          <w:sz w:val="24"/>
          <w:szCs w:val="24"/>
        </w:rPr>
        <w:t xml:space="preserve">Security Risk Register</w:t>
      </w:r>
    </w:p>
    <w:p>
      <w:pPr>
        <w:spacing w:after="120" w:before="0"/>
        <w:jc w:val="left"/>
      </w:pPr>
      <w:r>
        <w:rPr>
          <w:rFonts w:ascii="Calibri" w:cs="Calibri" w:eastAsia="Calibri" w:hAnsi="Calibri"/>
          <w:b w:val="false"/>
          <w:bCs w:val="false"/>
          <w:i w:val="false"/>
          <w:iCs w:val="false"/>
          <w:color w:val="1F2937"/>
          <w:sz w:val="19"/>
          <w:szCs w:val="19"/>
        </w:rPr>
        <w:t xml:space="preserve">Automatically generated from the data above — every finding above a threshold (e.g. unencrypted devices, low Secure Score) appears here ranked High, Medium, or Low, with a recommended action.</w:t>
      </w:r>
    </w:p>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5. Tips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Save credentials for repeat clients so you don't need to re-enter them each month</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The report period does not need to be a calendar month — any date range works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If a metric is missing entirely, check the Setup Guide troubleshooting table — it is almost always a missing permission or missing admin consent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Overseas sign-ins exclude Australia, New Zealand, and Malaysia as expected travel destinations — only genuinely unusual countries are flagged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The report always reflects live data at the moment you click Pull data — there is no caching</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Executive Summary, Ticketing &amp; Support, and Recommendations &amp; Opportunities only appear in the report if you fill in at least one of their commentary fields on the Review step — leave them all blank to omit that section entirely</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6.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Symptom</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What to check</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"Connection failed: Unexpected token '&lt;'"</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The Netlify function returned an error page instead of JSON. Usually means the deployed site is missing the docx npm package, or Netlify's site password protection is enabled (this blocks function calls)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Authentication failed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Check the Tenant ID, Client ID, and Client Secret are correct and the secret has not expired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 whole section is empty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 required Graph API permission is missing or has not had admin consent granted — see the Setup Guide permissions table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Licence names show as GUIDs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Regenerate the report — the internal name lookup may not include a newer licence SKU</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Report seems slow to load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Normal for larger tenants (500+ users or devices) — the sign-in log query in particular can take longer</w:t>
            </w:r>
          </w:p>
        </w:tc>
      </w:tr>
    </w:tbl>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1A8070"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For any issue not covered here, contact the developer with a screenshot of the error message and the approximate tenant size (device and user count).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2026-08-03T01:42:48.578Z</dcterms:created>
  <dcterms:modified xsi:type="dcterms:W3CDTF">2026-08-03T01:42:48.579Z</dcterms:modified>
</cp:coreProperties>
</file>

<file path=docProps/custom.xml><?xml version="1.0" encoding="utf-8"?>
<Properties xmlns="http://schemas.openxmlformats.org/officeDocument/2006/custom-properties" xmlns:vt="http://schemas.openxmlformats.org/officeDocument/2006/docPropsVTypes"/>
</file>