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E" w:val="clear"/>
            <w:tcMar>
              <w:top w:type="dxa" w:w="400"/>
              <w:left w:type="dxa" w:w="300"/>
              <w:bottom w:type="dxa" w:w="400"/>
              <w:right w:type="dxa" w:w="300"/>
            </w:tcMar>
          </w:tcPr>
          <w:p>
            <w:pPr>
              <w:spacing w:after="80" w:before="0"/>
              <w:jc w:val="left"/>
            </w:pPr>
            <w:r>
              <w:rPr>
                <w:rFonts w:ascii="Calibri" w:cs="Calibri" w:eastAsia="Calibri" w:hAnsi="Calibri"/>
                <w:b/>
                <w:bCs/>
                <w:i w:val="false"/>
                <w:iCs w:val="false"/>
                <w:color w:val="FFFFFF"/>
                <w:sz w:val="26"/>
                <w:szCs w:val="26"/>
              </w:rPr>
              <w:t xml:space="preserve">Integricity Technology</w:t>
            </w:r>
          </w:p>
          <w:p>
            <w:pPr>
              <w:spacing w:after="80" w:before="0"/>
              <w:jc w:val="left"/>
            </w:pPr>
            <w:r>
              <w:rPr>
                <w:rFonts w:ascii="Calibri" w:cs="Calibri" w:eastAsia="Calibri" w:hAnsi="Calibri"/>
                <w:b/>
                <w:bCs/>
                <w:i w:val="false"/>
                <w:iCs w:val="false"/>
                <w:color w:val="FFFFFF"/>
                <w:sz w:val="52"/>
                <w:szCs w:val="52"/>
              </w:rPr>
              <w:t xml:space="preserve">MSP Report Builder</w:t>
            </w:r>
          </w:p>
          <w:p>
            <w:pPr>
              <w:spacing w:after="120" w:before="0"/>
              <w:jc w:val="left"/>
            </w:pPr>
            <w:r>
              <w:rPr>
                <w:rFonts w:ascii="Calibri" w:cs="Calibri" w:eastAsia="Calibri" w:hAnsi="Calibri"/>
                <w:b w:val="false"/>
                <w:bCs w:val="false"/>
                <w:i w:val="false"/>
                <w:iCs w:val="false"/>
                <w:color w:val="AACCEE"/>
                <w:sz w:val="28"/>
                <w:szCs w:val="28"/>
              </w:rPr>
              <w:t xml:space="preserve">User Guide</w:t>
            </w:r>
          </w:p>
          <w:p>
            <w:pPr>
              <w:spacing w:after="0" w:before="0"/>
              <w:jc w:val="left"/>
            </w:pPr>
            <w:r>
              <w:rPr>
                <w:rFonts w:ascii="Calibri" w:cs="Calibri" w:eastAsia="Calibri" w:hAnsi="Calibri"/>
                <w:b w:val="false"/>
                <w:bCs w:val="false"/>
                <w:i w:val="false"/>
                <w:iCs w:val="false"/>
                <w:color w:val="7799BB"/>
                <w:sz w:val="18"/>
                <w:szCs w:val="18"/>
              </w:rPr>
              <w:t>October 2026</w:t>
            </w:r>
          </w:p>
        </w:tc>
      </w:tr>
    </w:tbl>
    <w:p>
      <w:pPr>
        <w:spacing w:after="32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1. What This Tool Does</w:t>
      </w:r>
    </w:p>
    <w:p>
      <w:pPr>
        <w:spacing w:after="120" w:before="0"/>
        <w:jc w:val="left"/>
      </w:pPr>
      <w:r>
        <w:rPr>
          <w:rFonts w:ascii="Calibri" w:cs="Calibri" w:eastAsia="Calibri" w:hAnsi="Calibri"/>
          <w:b w:val="false"/>
          <w:bCs w:val="false"/>
          <w:i w:val="false"/>
          <w:iCs w:val="false"/>
          <w:color w:val="1F2937"/>
          <w:sz w:val="19"/>
          <w:szCs w:val="19"/>
        </w:rPr>
        <w:t xml:space="preserve">The MSP Report Builder generates a monthly IT health report for a client's Microsoft 365 and Intune tenant. It pulls live data directly from Microsoft — device compliance, security posture, patch status, user activity, SharePoint usage — and produces a formatted report you can view on screen, print to PDF, or export as a Word document to send to the client.</w:t>
      </w:r>
    </w:p>
    <w:p>
      <w:pPr>
        <w:spacing w:after="120" w:before="0"/>
        <w:jc w:val="left"/>
      </w:pPr>
    </w:p>
    <w:p>
      <w:pPr>
        <w:spacing w:after="120" w:before="0"/>
        <w:jc w:val="left"/>
      </w:pPr>
      <w:r>
        <w:rPr>
          <w:rFonts w:ascii="Calibri" w:cs="Calibri" w:eastAsia="Calibri" w:hAnsi="Calibri"/>
          <w:b w:val="false"/>
          <w:bCs w:val="false"/>
          <w:i w:val="false"/>
          <w:iCs w:val="false"/>
          <w:color w:val="1F2937"/>
          <w:sz w:val="19"/>
          <w:szCs w:val="19"/>
        </w:rPr>
        <w:t xml:space="preserve">This guide covers day-to-day use of the report builder. If you are setting up a new client tenant for the first time, see the separate Setup Guide, which covers the Microsoft Entra ID app registration steps.</w:t>
      </w:r>
    </w:p>
    <w:p>
      <w:pPr>
        <w:spacing w:after="20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2. Before You Start</w:t>
      </w:r>
    </w:p>
    <w:p>
      <w:pPr>
        <w:spacing w:after="120" w:before="0"/>
        <w:jc w:val="left"/>
      </w:pPr>
      <w:r>
        <w:rPr>
          <w:rFonts w:ascii="Calibri" w:cs="Calibri" w:eastAsia="Calibri" w:hAnsi="Calibri"/>
          <w:b w:val="false"/>
          <w:bCs w:val="false"/>
          <w:i w:val="false"/>
          <w:iCs w:val="false"/>
          <w:color w:val="1F2937"/>
          <w:sz w:val="19"/>
          <w:szCs w:val="19"/>
        </w:rPr>
        <w:t xml:space="preserve">Each client tenant needs a one-off setup before it can be used with the report builder — an app registration in their Microsoft Entra ID with 12 read-only permissions granted. This only needs to be done once per client. See the Setup Guide for these steps.</w:t>
      </w:r>
    </w:p>
    <w:p>
      <w:pPr>
        <w:spacing w:after="120" w:before="0"/>
        <w:jc w:val="left"/>
      </w:pPr>
    </w:p>
    <w:p>
      <w:pPr>
        <w:spacing w:after="120" w:before="0"/>
        <w:jc w:val="left"/>
      </w:pPr>
      <w:r>
        <w:rPr>
          <w:rFonts w:ascii="Calibri" w:cs="Calibri" w:eastAsia="Calibri" w:hAnsi="Calibri"/>
          <w:b w:val="false"/>
          <w:bCs w:val="false"/>
          <w:i w:val="false"/>
          <w:iCs w:val="false"/>
          <w:color w:val="1F2937"/>
          <w:sz w:val="19"/>
          <w:szCs w:val="19"/>
        </w:rPr>
        <w:t xml:space="preserve">Once set up, you will have three values for that client, saved somewhere secure (e.g. a password manager):</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Tenant ID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Client ID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Client Secret</w:t>
      </w:r>
    </w:p>
    <w:p>
      <w:pPr>
        <w:spacing w:after="20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3. Generating a Report</w:t>
      </w:r>
    </w:p>
    <w:p>
      <w:pPr>
        <w:spacing w:after="60" w:before="160"/>
      </w:pPr>
      <w:r>
        <w:rPr>
          <w:rFonts w:ascii="Calibri" w:cs="Calibri" w:eastAsia="Calibri" w:hAnsi="Calibri"/>
          <w:b/>
          <w:bCs/>
          <w:i w:val="false"/>
          <w:iCs w:val="false"/>
          <w:color w:val="0D7CC4"/>
          <w:sz w:val="19"/>
          <w:szCs w:val="19"/>
        </w:rPr>
        <w:t xml:space="preserve">Step 1 — </w:t>
      </w:r>
      <w:r>
        <w:rPr>
          <w:rFonts w:ascii="Calibri" w:cs="Calibri" w:eastAsia="Calibri" w:hAnsi="Calibri"/>
          <w:b/>
          <w:bCs/>
          <w:i w:val="false"/>
          <w:iCs w:val="false"/>
          <w:color w:val="1F2937"/>
          <w:sz w:val="19"/>
          <w:szCs w:val="19"/>
        </w:rPr>
        <w:t xml:space="preserve">Open the report builder</w:t>
      </w:r>
    </w:p>
    <w:p>
      <w:pPr>
        <w:spacing w:after="120" w:before="0"/>
        <w:jc w:val="left"/>
      </w:pPr>
      <w:r>
        <w:rPr>
          <w:rFonts w:ascii="Calibri" w:cs="Calibri" w:eastAsia="Calibri" w:hAnsi="Calibri"/>
          <w:b w:val="false"/>
          <w:bCs w:val="false"/>
          <w:i w:val="false"/>
          <w:iCs w:val="false"/>
          <w:color w:val="6B7280"/>
          <w:sz w:val="19"/>
          <w:szCs w:val="19"/>
        </w:rPr>
        <w:t xml:space="preserve">Go to https://integricitymsp.netlify.app in any modern browser.</w:t>
      </w:r>
    </w:p>
    <w:p>
      <w:pPr>
        <w:spacing w:after="60" w:before="160"/>
      </w:pPr>
      <w:r>
        <w:rPr>
          <w:rFonts w:ascii="Calibri" w:cs="Calibri" w:eastAsia="Calibri" w:hAnsi="Calibri"/>
          <w:b/>
          <w:bCs/>
          <w:i w:val="false"/>
          <w:iCs w:val="false"/>
          <w:color w:val="0D7CC4"/>
          <w:sz w:val="19"/>
          <w:szCs w:val="19"/>
        </w:rPr>
        <w:t xml:space="preserve">Step 2 — </w:t>
      </w:r>
      <w:r>
        <w:rPr>
          <w:rFonts w:ascii="Calibri" w:cs="Calibri" w:eastAsia="Calibri" w:hAnsi="Calibri"/>
          <w:b/>
          <w:bCs/>
          <w:i w:val="false"/>
          <w:iCs w:val="false"/>
          <w:color w:val="1F2937"/>
          <w:sz w:val="19"/>
          <w:szCs w:val="19"/>
        </w:rPr>
        <w:t xml:space="preserve">Enter or select credentials</w:t>
      </w:r>
    </w:p>
    <w:p>
      <w:pPr>
        <w:spacing w:after="120" w:before="0"/>
        <w:jc w:val="left"/>
      </w:pPr>
      <w:r>
        <w:rPr>
          <w:rFonts w:ascii="Calibri" w:cs="Calibri" w:eastAsia="Calibri" w:hAnsi="Calibri"/>
          <w:b w:val="false"/>
          <w:bCs w:val="false"/>
          <w:i w:val="false"/>
          <w:iCs w:val="false"/>
          <w:color w:val="6B7280"/>
          <w:sz w:val="19"/>
          <w:szCs w:val="19"/>
        </w:rPr>
        <w:t>Choose a previously saved client from the list, or enter a new Tenant ID, Client ID, and Client Secret along with a client label. To change a saved client's name, IDs or secret (for example after renewing an expired secret), click the pencil icon on its button, make the change and save. To remove one, click the bin icon and confirm. Saved clients are kept in this browser, on this device, until you delete them — they are never stored on Integricity's servers, so use a device you trust. Tick “Skip the overseas sign-in check for this client” to leave the overseas sign-in section out of that client’s report entirely (useful where everyone works through a VPN, or the check isn’t meaningful).</w:t>
      </w:r>
    </w:p>
    <w:p>
      <w:pPr>
        <w:spacing w:after="60" w:before="160"/>
      </w:pPr>
      <w:r>
        <w:rPr>
          <w:rFonts w:ascii="Calibri" w:cs="Calibri" w:eastAsia="Calibri" w:hAnsi="Calibri"/>
          <w:b/>
          <w:bCs/>
          <w:i w:val="false"/>
          <w:iCs w:val="false"/>
          <w:color w:val="0D7CC4"/>
          <w:sz w:val="19"/>
          <w:szCs w:val="19"/>
        </w:rPr>
        <w:t xml:space="preserve">Step 3 — </w:t>
      </w:r>
      <w:r>
        <w:rPr>
          <w:rFonts w:ascii="Calibri" w:cs="Calibri" w:eastAsia="Calibri" w:hAnsi="Calibri"/>
          <w:b/>
          <w:bCs/>
          <w:i w:val="false"/>
          <w:iCs w:val="false"/>
          <w:color w:val="1F2937"/>
          <w:sz w:val="19"/>
          <w:szCs w:val="19"/>
        </w:rPr>
        <w:t xml:space="preserve">Set the report period</w:t>
      </w:r>
    </w:p>
    <w:p>
      <w:pPr>
        <w:spacing w:after="120" w:before="0"/>
        <w:jc w:val="left"/>
      </w:pPr>
      <w:r>
        <w:rPr>
          <w:rFonts w:ascii="Calibri" w:cs="Calibri" w:eastAsia="Calibri" w:hAnsi="Calibri"/>
          <w:b w:val="false"/>
          <w:bCs w:val="false"/>
          <w:i w:val="false"/>
          <w:iCs w:val="false"/>
          <w:color w:val="6B7280"/>
          <w:sz w:val="19"/>
          <w:szCs w:val="19"/>
        </w:rPr>
        <w:t>Enter the From and To dates for the reporting period (typically a calendar month), and the account manager's name. The dates default to the previous full calendar month. Tick One-off report only for a single, non-recurring engagement such as a prospect's snapshot: it stops this report's summary figures being saved for month-on-month comparison and deletes any already saved for that tenant. Leave it unticked for ongoing clients.</w:t>
      </w:r>
    </w:p>
    <w:p>
      <w:pPr>
        <w:spacing w:after="60" w:before="160"/>
      </w:pPr>
      <w:r>
        <w:rPr>
          <w:rFonts w:ascii="Calibri" w:cs="Calibri" w:eastAsia="Calibri" w:hAnsi="Calibri"/>
          <w:b/>
          <w:bCs/>
          <w:i w:val="false"/>
          <w:iCs w:val="false"/>
          <w:color w:val="0D7CC4"/>
          <w:sz w:val="19"/>
          <w:szCs w:val="19"/>
        </w:rPr>
        <w:t xml:space="preserve">Step 4 — </w:t>
      </w:r>
      <w:r>
        <w:rPr>
          <w:rFonts w:ascii="Calibri" w:cs="Calibri" w:eastAsia="Calibri" w:hAnsi="Calibri"/>
          <w:b/>
          <w:bCs/>
          <w:i w:val="false"/>
          <w:iCs w:val="false"/>
          <w:color w:val="1F2937"/>
          <w:sz w:val="19"/>
          <w:szCs w:val="19"/>
        </w:rPr>
        <w:t xml:space="preserve">Pull data</w:t>
      </w:r>
    </w:p>
    <w:p>
      <w:pPr>
        <w:spacing w:after="120" w:before="0"/>
        <w:jc w:val="left"/>
      </w:pPr>
      <w:r>
        <w:rPr>
          <w:rFonts w:ascii="Calibri" w:cs="Calibri" w:eastAsia="Calibri" w:hAnsi="Calibri"/>
          <w:b w:val="false"/>
          <w:bCs w:val="false"/>
          <w:i w:val="false"/>
          <w:iCs w:val="false"/>
          <w:color w:val="6B7280"/>
          <w:sz w:val="19"/>
          <w:szCs w:val="19"/>
        </w:rPr>
        <w:t>Click Pull data. The app will call Microsoft Graph and retrieve all metrics — this usually takes 3 to 8 seconds depending on tenant size — then builds the report automatically and takes you straight to it. There is no separate review step.</w:t>
      </w:r>
    </w:p>
    <w:p>
      <w:pPr>
        <w:spacing w:after="60" w:before="160"/>
      </w:pPr>
      <w:r>
        <w:rPr>
          <w:rFonts w:ascii="Calibri" w:cs="Calibri" w:eastAsia="Calibri" w:hAnsi="Calibri"/>
          <w:b/>
          <w:bCs/>
          <w:i w:val="false"/>
          <w:iCs w:val="false"/>
          <w:color w:val="0D7CC4"/>
          <w:sz w:val="19"/>
          <w:szCs w:val="19"/>
        </w:rPr>
        <w:t xml:space="preserve">Step 5 — </w:t>
      </w:r>
      <w:r>
        <w:rPr>
          <w:rFonts w:ascii="Calibri" w:cs="Calibri" w:eastAsia="Calibri" w:hAnsi="Calibri"/>
          <w:b/>
          <w:bCs/>
          <w:i w:val="false"/>
          <w:iCs w:val="false"/>
          <w:color w:val="1F2937"/>
          <w:sz w:val="19"/>
          <w:szCs w:val="19"/>
        </w:rPr>
        <w:t xml:space="preserve">View the full report</w:t>
      </w:r>
    </w:p>
    <w:p>
      <w:pPr>
        <w:spacing w:after="120" w:before="0"/>
        <w:jc w:val="left"/>
      </w:pPr>
      <w:r>
        <w:rPr>
          <w:rFonts w:ascii="Calibri" w:cs="Calibri" w:eastAsia="Calibri" w:hAnsi="Calibri"/>
          <w:b w:val="false"/>
          <w:bCs w:val="false"/>
          <w:i w:val="false"/>
          <w:iCs w:val="false"/>
          <w:color w:val="6B7280"/>
          <w:sz w:val="19"/>
          <w:szCs w:val="19"/>
        </w:rPr>
        <w:t>The complete formatted report renders on screen with all sections, in order: Executive Summary, Month-on-Month Changes (when available), Device &amp; Asset Management, Security Posture, Patch Status, User Data, SharePoint / MS Teams, Ticketing &amp; Support, Recommendations &amp; Opportunities, and Security Risk Register. Executive Summary, Ticketing &amp; Support, and Recommendations &amp; Opportunities are manual-entry sections that the wizard no longer collects, so they are omitted. Above the report, a collapsed Diagnostics panel (not part of the report or its exports) shows the raw SharePoint template values, a list of the sites counted as Other (with a CSV download), the at-risk accounts, and how the sign-in log query went. Buttons on this page: Print / Save as PDF, Export to Word, Copy text (copies the report as plain text), Edit inputs and New report.</w:t>
      </w:r>
    </w:p>
    <w:p>
      <w:pPr>
        <w:spacing w:after="60" w:before="160"/>
      </w:pPr>
      <w:r>
        <w:rPr>
          <w:rFonts w:ascii="Calibri" w:cs="Calibri" w:eastAsia="Calibri" w:hAnsi="Calibri"/>
          <w:b/>
          <w:bCs/>
          <w:i w:val="false"/>
          <w:iCs w:val="false"/>
          <w:color w:val="0D7CC4"/>
          <w:sz w:val="19"/>
          <w:szCs w:val="19"/>
        </w:rPr>
        <w:t xml:space="preserve">Step 6 — </w:t>
      </w:r>
      <w:r>
        <w:rPr>
          <w:rFonts w:ascii="Calibri" w:cs="Calibri" w:eastAsia="Calibri" w:hAnsi="Calibri"/>
          <w:b/>
          <w:bCs/>
          <w:i w:val="false"/>
          <w:iCs w:val="false"/>
          <w:color w:val="1F2937"/>
          <w:sz w:val="19"/>
          <w:szCs w:val="19"/>
        </w:rPr>
        <w:t xml:space="preserve">Export</w:t>
      </w:r>
    </w:p>
    <w:p>
      <w:pPr>
        <w:spacing w:after="120" w:before="0"/>
        <w:jc w:val="left"/>
      </w:pPr>
      <w:r>
        <w:rPr>
          <w:rFonts w:ascii="Calibri" w:cs="Calibri" w:eastAsia="Calibri" w:hAnsi="Calibri"/>
          <w:b w:val="false"/>
          <w:bCs w:val="false"/>
          <w:i w:val="false"/>
          <w:iCs w:val="false"/>
          <w:color w:val="6B7280"/>
          <w:sz w:val="19"/>
          <w:szCs w:val="19"/>
        </w:rPr>
        <w:t xml:space="preserve">Use the Export to Word button to download a formatted .docx file, or use your browser's Print function (Ctrl+P / Cmd+P) and choose Save as PDF.</w:t>
      </w:r>
    </w:p>
    <w:p>
      <w:pPr>
        <w:spacing w:after="200" w:before="0"/>
        <w:jc w:val="left"/>
      </w:pPr>
    </w:p>
    <w:p>
      <w:pPr>
        <w:pStyle w:val="Heading1"/>
        <w:pBdr>
          <w:bottom w:val="single" w:color="8C0C6E" w:sz="8"/>
        </w:pBdr>
        <w:spacing w:after="120" w:before="360"/>
      </w:pPr>
      <w:r>
        <w:rPr>
          <w:rFonts w:ascii="Calibri" w:cs="Calibri" w:eastAsia="Calibri" w:hAnsi="Calibri"/>
          <w:b/>
          <w:bCs/>
          <w:i w:val="false"/>
          <w:iCs w:val="false"/>
          <w:color w:val="8C0C6E"/>
          <w:sz w:val="30"/>
          <w:szCs w:val="30"/>
        </w:rPr>
        <w:t xml:space="preserve">4. Understanding the Report Sections</w:t>
      </w:r>
    </w:p>
    <w:p>
      <w:pPr>
        <w:pStyle w:val="Heading2"/>
        <w:spacing w:after="80" w:before="240"/>
      </w:pPr>
      <w:r>
        <w:rPr>
          <w:rFonts w:ascii="Calibri" w:cs="Calibri" w:eastAsia="Calibri" w:hAnsi="Calibri"/>
          <w:b/>
          <w:bCs/>
          <w:i w:val="false"/>
          <w:iCs w:val="false"/>
          <w:color w:val="1F2937"/>
          <w:sz w:val="24"/>
          <w:szCs w:val="24"/>
        </w:rPr>
        <w:t xml:space="preserve">Executive Summary</w:t>
      </w:r>
    </w:p>
    <w:p>
      <w:pPr>
        <w:spacing w:after="120" w:before="0"/>
        <w:jc w:val="left"/>
      </w:pPr>
      <w:r>
        <w:rPr>
          <w:rFonts w:ascii="Calibri" w:cs="Calibri" w:eastAsia="Calibri" w:hAnsi="Calibri"/>
          <w:b w:val="false"/>
          <w:bCs w:val="false"/>
          <w:i w:val="false"/>
          <w:iCs w:val="false"/>
          <w:color w:val="1F2937"/>
          <w:sz w:val="19"/>
          <w:szCs w:val="19"/>
        </w:rPr>
        <w:t>A narrative overview built from manual commentary fields (general overview, highlights, concerns, upcoming projects). The wizard no longer has a step for entering these, so this section is currently omitted.</w:t>
      </w:r>
    </w:p>
    <w:p>
      <w:pPr>
        <w:pStyle w:val="Heading2"/>
        <w:spacing w:after="80" w:before="240"/>
      </w:pPr>
      <w:r>
        <w:rPr>
          <w:rFonts w:ascii="Calibri" w:cs="Calibri" w:eastAsia="Calibri" w:hAnsi="Calibri"/>
          <w:b/>
          <w:bCs/>
          <w:i w:val="false"/>
          <w:iCs w:val="false"/>
          <w:color w:val="1F2937"/>
          <w:sz w:val="24"/>
          <w:szCs w:val="24"/>
        </w:rPr>
        <w:t>Month-on-Month Changes</w:t>
      </w:r>
    </w:p>
    <w:p>
      <w:pPr>
        <w:spacing w:after="120" w:before="0"/>
        <w:jc w:val="left"/>
      </w:pPr>
      <w:r>
        <w:rPr>
          <w:rFonts w:ascii="Calibri" w:cs="Calibri" w:eastAsia="Calibri" w:hAnsi="Calibri"/>
          <w:b w:val="false"/>
          <w:bCs w:val="false"/>
          <w:i w:val="false"/>
          <w:iCs w:val="false"/>
          <w:color w:val="1F2937"/>
          <w:sz w:val="19"/>
          <w:szCs w:val="19"/>
        </w:rPr>
        <w:t>Plain-English notes on what changed since last month — for example total and compliant devices, Secure Score movement, risky or inactive users, admin role holders and SharePoint storage. Each line compares this report's figures with the summary figures saved from the previous calendar month's report for the same tenant, and only changes above a small threshold are listed. It appears automatically and is left out on a tenant's first report, when the previous month wasn't run, and when One-off report is ticked.</w:t>
      </w:r>
    </w:p>
    <w:p>
      <w:pPr>
        <w:pStyle w:val="Heading2"/>
        <w:spacing w:after="80" w:before="240"/>
      </w:pPr>
      <w:r>
        <w:rPr>
          <w:rFonts w:ascii="Calibri" w:cs="Calibri" w:eastAsia="Calibri" w:hAnsi="Calibri"/>
          <w:b/>
          <w:bCs/>
          <w:i w:val="false"/>
          <w:iCs w:val="false"/>
          <w:color w:val="1F2937"/>
          <w:sz w:val="24"/>
          <w:szCs w:val="24"/>
        </w:rPr>
        <w:t xml:space="preserve">Device &amp; Asset Management</w:t>
      </w:r>
    </w:p>
    <w:p>
      <w:pPr>
        <w:spacing w:after="120" w:before="0"/>
        <w:jc w:val="left"/>
      </w:pPr>
      <w:r>
        <w:rPr>
          <w:rFonts w:ascii="Calibri" w:cs="Calibri" w:eastAsia="Calibri" w:hAnsi="Calibri"/>
          <w:b w:val="false"/>
          <w:bCs w:val="false"/>
          <w:i w:val="false"/>
          <w:iCs w:val="false"/>
          <w:color w:val="1F2937"/>
          <w:sz w:val="19"/>
          <w:szCs w:val="19"/>
        </w:rPr>
        <w:t>Operating system breakdown, compliance status, encryption, antivirus, low disk space, and stale devices (no check-in for 90+ days). Non-compliant and unencrypted devices are listed individually with their assigned user. The compliance percentage counts evaluated devices only — compliant ÷ (compliant + non-compliant) — so devices Intune has not evaluated yet are excluded; the ring is green at 80% or more, orange at 60–79% and red below 60%. Lists are ordered: non-compliant and unencrypted devices by machine name, low-disk devices lowest free space first, and devices not checked in for 90+ days longest-unseen first.</w:t>
      </w:r>
    </w:p>
    <w:p>
      <w:pPr>
        <w:pStyle w:val="Heading2"/>
        <w:spacing w:after="80" w:before="240"/>
      </w:pPr>
      <w:r>
        <w:rPr>
          <w:rFonts w:ascii="Calibri" w:cs="Calibri" w:eastAsia="Calibri" w:hAnsi="Calibri"/>
          <w:b/>
          <w:bCs/>
          <w:i w:val="false"/>
          <w:iCs w:val="false"/>
          <w:color w:val="1F2937"/>
          <w:sz w:val="24"/>
          <w:szCs w:val="24"/>
        </w:rPr>
        <w:t xml:space="preserve">Security Posture</w:t>
      </w:r>
    </w:p>
    <w:p>
      <w:pPr>
        <w:spacing w:after="120" w:before="0"/>
        <w:jc w:val="left"/>
      </w:pPr>
      <w:r>
        <w:rPr>
          <w:rFonts w:ascii="Calibri" w:cs="Calibri" w:eastAsia="Calibri" w:hAnsi="Calibri"/>
          <w:b w:val="false"/>
          <w:bCs w:val="false"/>
          <w:i w:val="false"/>
          <w:iCs w:val="false"/>
          <w:color w:val="1F2937"/>
          <w:sz w:val="19"/>
          <w:szCs w:val="19"/>
        </w:rPr>
        <w:t xml:space="preserve">Microsoft Secure Score, Conditional Access policy status, authentication methods in use, and any risky user accounts flagged by Entra ID Protection.</w:t>
      </w:r>
    </w:p>
    <w:p>
      <w:pPr>
        <w:pStyle w:val="Heading2"/>
        <w:spacing w:after="80" w:before="240"/>
      </w:pPr>
      <w:r>
        <w:rPr>
          <w:rFonts w:ascii="Calibri" w:cs="Calibri" w:eastAsia="Calibri" w:hAnsi="Calibri"/>
          <w:b/>
          <w:bCs/>
          <w:i w:val="false"/>
          <w:iCs w:val="false"/>
          <w:color w:val="1F2937"/>
          <w:sz w:val="24"/>
          <w:szCs w:val="24"/>
        </w:rPr>
        <w:t xml:space="preserve">Patch Status</w:t>
      </w:r>
    </w:p>
    <w:p>
      <w:pPr>
        <w:spacing w:after="120" w:before="0"/>
        <w:jc w:val="left"/>
      </w:pPr>
      <w:r>
        <w:rPr>
          <w:rFonts w:ascii="Calibri" w:cs="Calibri" w:eastAsia="Calibri" w:hAnsi="Calibri"/>
          <w:b w:val="false"/>
          <w:bCs w:val="false"/>
          <w:i w:val="false"/>
          <w:iCs w:val="false"/>
          <w:color w:val="1F2937"/>
          <w:sz w:val="19"/>
          <w:szCs w:val="19"/>
        </w:rPr>
        <w:t xml:space="preserve">Devices grouped by how current their Windows patch level is — current, 30+ days behind, or 90+ days behind — based on last Intune check-in.</w:t>
      </w:r>
    </w:p>
    <w:p>
      <w:pPr>
        <w:pStyle w:val="Heading2"/>
        <w:spacing w:after="80" w:before="240"/>
      </w:pPr>
      <w:r>
        <w:rPr>
          <w:rFonts w:ascii="Calibri" w:cs="Calibri" w:eastAsia="Calibri" w:hAnsi="Calibri"/>
          <w:b/>
          <w:bCs/>
          <w:i w:val="false"/>
          <w:iCs w:val="false"/>
          <w:color w:val="1F2937"/>
          <w:sz w:val="24"/>
          <w:szCs w:val="24"/>
        </w:rPr>
        <w:t xml:space="preserve">User Data</w:t>
      </w:r>
    </w:p>
    <w:p>
      <w:pPr>
        <w:spacing w:after="120" w:before="0"/>
        <w:jc w:val="left"/>
      </w:pPr>
      <w:r>
        <w:rPr>
          <w:rFonts w:ascii="Calibri" w:cs="Calibri" w:eastAsia="Calibri" w:hAnsi="Calibri"/>
          <w:b w:val="false"/>
          <w:bCs w:val="false"/>
          <w:i w:val="false"/>
          <w:iCs w:val="false"/>
          <w:color w:val="1F2937"/>
          <w:sz w:val="19"/>
          <w:szCs w:val="19"/>
        </w:rPr>
        <w:t>Total licensed users, shared mailboxes, guest accounts, inactive accounts (90+ days), admin role holders, unexpected overseas sign-ins, and licence assignment — with paid licences first (largest estimated spend first) and free licences after them; anything with “trial” in its name counts as free. A licence bar is red only when more are assigned than purchased, blue at exactly 100% and orange at 90% or more; a licence with no purchased units shows n / n. Also includes Upcoming licence renewals: every active Microsoft subscription renewing within the next 90 days, with its seat count, renewal date and a Billing label — Monthly for subscriptions renewing within about five weeks, otherwise Annual/Multi-year (inferred from the renewal date, because Microsoft does not expose billing frequency). If nothing is due the report says so, and if Microsoft's data can't be read it says that instead. Unexpected overseas sign-ins count successful interactive sign-ins from outside Australia, New Zealand and Malaysia. An overseas IP address used by five or more different people (typically a company VPN or gateway) is left out and noted in the report, and if the sign-in log can’t be fully read the report says how many days were checked. Microsoft only keeps sign-in logs for 30 days (7 on free tenants), so older sign-ins can’t be retrieved.</w:t>
      </w:r>
    </w:p>
    <w:p>
      <w:pPr>
        <w:pStyle w:val="Heading2"/>
        <w:spacing w:after="80" w:before="240"/>
      </w:pPr>
      <w:r>
        <w:rPr>
          <w:rFonts w:ascii="Calibri" w:cs="Calibri" w:eastAsia="Calibri" w:hAnsi="Calibri"/>
          <w:b/>
          <w:bCs/>
          <w:i w:val="false"/>
          <w:iCs w:val="false"/>
          <w:color w:val="1F2937"/>
          <w:sz w:val="24"/>
          <w:szCs w:val="24"/>
        </w:rPr>
        <w:t xml:space="preserve">SharePoint / MS Teams</w:t>
      </w:r>
    </w:p>
    <w:p>
      <w:pPr>
        <w:spacing w:after="120" w:before="0"/>
        <w:jc w:val="left"/>
      </w:pPr>
      <w:r>
        <w:rPr>
          <w:rFonts w:ascii="Calibri" w:cs="Calibri" w:eastAsia="Calibri" w:hAnsi="Calibri"/>
          <w:b w:val="false"/>
          <w:bCs w:val="false"/>
          <w:i w:val="false"/>
          <w:iCs w:val="false"/>
          <w:color w:val="1F2937"/>
          <w:sz w:val="19"/>
          <w:szCs w:val="19"/>
        </w:rPr>
        <w:t>Total sites with a breakdown by type — M365 Group sites (created with a Microsoft 365 Group, including the sites behind Teams), Communication sites, and Teams channels (the hidden sites behind private and shared Teams channels), plus Classic sites (older-style team sites) and Other (tenant system sites and anything unrecognised), which only appear when there are some. Also shown: storage used, Inactive Sites and Channels 180 days + (no recorded activity in 180+ days, with a warning note when there are any), and the Security Group count. Placeholder entries in Microsoft’s report (no template, no recorded activity and under 0.05 GB) are left out of every count. These figures come from Microsoft's usage reports, which run 24 to 48 hours behind and include hidden channel and system sites, so the total is normally higher than the Active sites list in the SharePoint admin center. Above the report, the collapsed Diagnostics panel shows the raw template values Microsoft returned and which type each was counted as — useful for checking a surprising number. It is not part of the exported report.</w:t>
      </w:r>
    </w:p>
    <w:p>
      <w:pPr>
        <w:pStyle w:val="Heading2"/>
        <w:spacing w:after="80" w:before="240"/>
      </w:pPr>
      <w:r>
        <w:rPr>
          <w:rFonts w:ascii="Calibri" w:cs="Calibri" w:eastAsia="Calibri" w:hAnsi="Calibri"/>
          <w:b/>
          <w:bCs/>
          <w:i w:val="false"/>
          <w:iCs w:val="false"/>
          <w:color w:val="1F2937"/>
          <w:sz w:val="24"/>
          <w:szCs w:val="24"/>
        </w:rPr>
        <w:t xml:space="preserve">Ticketing &amp; Support</w:t>
      </w:r>
    </w:p>
    <w:p>
      <w:pPr>
        <w:spacing w:after="120" w:before="0"/>
        <w:jc w:val="left"/>
      </w:pPr>
      <w:r>
        <w:rPr>
          <w:rFonts w:ascii="Calibri" w:cs="Calibri" w:eastAsia="Calibri" w:hAnsi="Calibri"/>
          <w:b w:val="false"/>
          <w:bCs w:val="false"/>
          <w:i w:val="false"/>
          <w:iCs w:val="false"/>
          <w:color w:val="1F2937"/>
          <w:sz w:val="19"/>
          <w:szCs w:val="19"/>
        </w:rPr>
        <w:t>Support ticket counts (opened, closed, pending), average response and resolution times, and any P1 incident for the period — manual-entry fields that the wizard no longer collects, so this section is currently omitted.</w:t>
      </w:r>
    </w:p>
    <w:p>
      <w:pPr>
        <w:pStyle w:val="Heading2"/>
        <w:spacing w:after="80" w:before="240"/>
      </w:pPr>
      <w:r>
        <w:rPr>
          <w:rFonts w:ascii="Calibri" w:cs="Calibri" w:eastAsia="Calibri" w:hAnsi="Calibri"/>
          <w:b/>
          <w:bCs/>
          <w:i w:val="false"/>
          <w:iCs w:val="false"/>
          <w:color w:val="1F2937"/>
          <w:sz w:val="24"/>
          <w:szCs w:val="24"/>
        </w:rPr>
        <w:t xml:space="preserve">Recommendations &amp; Opportunities</w:t>
      </w:r>
    </w:p>
    <w:p>
      <w:pPr>
        <w:spacing w:after="120" w:before="0"/>
        <w:jc w:val="left"/>
      </w:pPr>
      <w:r>
        <w:rPr>
          <w:rFonts w:ascii="Calibri" w:cs="Calibri" w:eastAsia="Calibri" w:hAnsi="Calibri"/>
          <w:b w:val="false"/>
          <w:bCs w:val="false"/>
          <w:i w:val="false"/>
          <w:iCs w:val="false"/>
          <w:color w:val="1F2937"/>
          <w:sz w:val="19"/>
          <w:szCs w:val="19"/>
        </w:rPr>
        <w:t>A personal note plus suggested improvements, cost-saving opportunities, and tech roadmap items — manual-entry fields that the wizard no longer collects, so this section is currently omitted.</w:t>
      </w:r>
    </w:p>
    <w:p>
      <w:pPr>
        <w:pStyle w:val="Heading2"/>
        <w:spacing w:after="80" w:before="240"/>
      </w:pPr>
      <w:r>
        <w:rPr>
          <w:rFonts w:ascii="Calibri" w:cs="Calibri" w:eastAsia="Calibri" w:hAnsi="Calibri"/>
          <w:b/>
          <w:bCs/>
          <w:i w:val="false"/>
          <w:iCs w:val="false"/>
          <w:color w:val="1F2937"/>
          <w:sz w:val="24"/>
          <w:szCs w:val="24"/>
        </w:rPr>
        <w:t xml:space="preserve">Security Risk Register</w:t>
      </w:r>
    </w:p>
    <w:p>
      <w:pPr>
        <w:spacing w:after="120" w:before="0"/>
        <w:jc w:val="left"/>
      </w:pPr>
      <w:r>
        <w:rPr>
          <w:rFonts w:ascii="Calibri" w:cs="Calibri" w:eastAsia="Calibri" w:hAnsi="Calibri"/>
          <w:b w:val="false"/>
          <w:bCs w:val="false"/>
          <w:i w:val="false"/>
          <w:iCs w:val="false"/>
          <w:color w:val="1F2937"/>
          <w:sz w:val="19"/>
          <w:szCs w:val="19"/>
        </w:rPr>
        <w:t xml:space="preserve">Automatically generated from the data above — every finding above a threshold (e.g. unencrypted devices, low Secure Score) appears here ranked High, Medium, or Low, with a recommended action.</w:t>
      </w:r>
    </w:p>
    <w:p>
      <w:pPr>
        <w:spacing w:after="200" w:before="0"/>
        <w:jc w:val="left"/>
      </w:pPr>
    </w:p>
    <w:p>
      <w:pPr>
        <w:pStyle w:val="Heading1"/>
        <w:pBdr>
          <w:bottom w:val="single" w:color="1A8070" w:sz="8"/>
        </w:pBdr>
        <w:spacing w:after="120" w:before="360"/>
      </w:pPr>
      <w:r>
        <w:rPr>
          <w:rFonts w:ascii="Calibri" w:cs="Calibri" w:eastAsia="Calibri" w:hAnsi="Calibri"/>
          <w:b/>
          <w:bCs/>
          <w:i w:val="false"/>
          <w:iCs w:val="false"/>
          <w:color w:val="1A8070"/>
          <w:sz w:val="30"/>
          <w:szCs w:val="30"/>
        </w:rPr>
        <w:t xml:space="preserve">5. Tips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Save credentials for repeat clients so you don't need to re-enter them each month — they stay in your browser only; use the pencil icon to update a renewed secret or the bin icon to remove a client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The report period does not need to be a calendar month — any date range works, but month-on-month comparison uses the calendar month of the To date, so run a client's reports for consecutive months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If a metric is missing entirely, check the Setup Guide troubleshooting table — it is almost always a missing permission or missing admin consent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 xml:space="preserve">Overseas sign-ins exclude Australia, New Zealand, and Malaysia as expected travel destinations — only genuinely unusual countries are flagged</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The report always reflects live data at the moment you click Pull data — there is no caching. The only thing kept between runs is the small set of summary figures used for month-on-month comparison (device counts, Secure Score and similar — no raw tenant data or credentials), held for up to 13 months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Executive Summary, Ticketing &amp; Support, and Recommendations &amp; Opportunities are manual-entry sections. The wizard no longer collects those fields, so they are left out of the report</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Month-on-month commentary starts with a tenant's second report — the first report only saves the starting figures. Leave One-off report unticked for ongoing clients, and tick it for prospects</w:t>
      </w:r>
    </w:p>
    <w:p>
      <w:pPr>
        <w:pStyle w:val="ListParagraph"/>
        <w:numPr>
          <w:ilvl w:val="0"/>
          <w:numId w:val="1"/>
        </w:numPr>
        <w:spacing w:after="60" w:before="40"/>
      </w:pPr>
      <w:r>
        <w:rPr>
          <w:rFonts w:ascii="Calibri" w:cs="Calibri" w:eastAsia="Calibri" w:hAnsi="Calibri"/>
          <w:b w:val="false"/>
          <w:bCs w:val="false"/>
          <w:i w:val="false"/>
          <w:iCs w:val="false"/>
          <w:color w:val="1F2937"/>
          <w:sz w:val="19"/>
          <w:szCs w:val="19"/>
        </w:rPr>
        <w:t>Click MSP Monthly Report Builder in the top bar to return to the start page. An unexported report on screen is lost when you do</w:t>
      </w:r>
    </w:p>
    <w:p>
      <w:pPr>
        <w:spacing w:after="200" w:before="0"/>
        <w:jc w:val="left"/>
      </w:pPr>
    </w:p>
    <w:p>
      <w:pPr>
        <w:pStyle w:val="Heading1"/>
        <w:pBdr>
          <w:bottom w:val="single" w:color="0D7CC4" w:sz="8"/>
        </w:pBdr>
        <w:spacing w:after="120" w:before="360"/>
      </w:pPr>
      <w:r>
        <w:rPr>
          <w:rFonts w:ascii="Calibri" w:cs="Calibri" w:eastAsia="Calibri" w:hAnsi="Calibri"/>
          <w:b/>
          <w:bCs/>
          <w:i w:val="false"/>
          <w:iCs w:val="false"/>
          <w:color w:val="0D7CC4"/>
          <w:sz w:val="30"/>
          <w:szCs w:val="30"/>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Symptom</w:t>
            </w:r>
          </w:p>
        </w:tc>
        <w:tc>
          <w:tcPr>
            <w:tcW w:type="dxa" w:w="6365"/>
            <w:tcBorders>
              <w:top w:val="single" w:color="E5E7EB" w:sz="4"/>
              <w:left w:val="single" w:color="E5E7EB" w:sz="4"/>
              <w:bottom w:val="single" w:color="E5E7EB" w:sz="4"/>
              <w:right w:val="single" w:color="E5E7EB" w:sz="4"/>
            </w:tcBorders>
            <w:shd w:fill="1F2937"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FFFFFF"/>
                <w:sz w:val="18"/>
                <w:szCs w:val="18"/>
              </w:rPr>
              <w:t xml:space="preserve">What to check</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"Connection failed: Unexpected token '&lt;'"</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The Netlify function returned an error page instead of JSON. Usually means the deployed site is missing the docx npm package, or Netlify's site password protection is enabled (this blocks function calls)</w:t>
            </w:r>
          </w:p>
        </w:tc>
      </w:tr>
      <w:tr>
        <w:tc>
          <w:tcPr>
            <w:tcW w:type="dxa" w:w="2995"/>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Authentication failed</w:t>
            </w:r>
          </w:p>
        </w:tc>
        <w:tc>
          <w:tcPr>
            <w:tcW w:type="dxa" w:w="6365"/>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Check the Tenant ID, Client ID, and Client Secret are correct and the secret has not expired</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A whole section is empty</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A required Graph API permission is missing or has not had admin consent granted — see the Setup Guide permissions table</w:t>
            </w:r>
          </w:p>
        </w:tc>
      </w:tr>
      <w:tr>
        <w:tc>
          <w:tcPr>
            <w:tcW w:type="dxa" w:w="2995"/>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Licence names show as GUIDs</w:t>
            </w:r>
          </w:p>
        </w:tc>
        <w:tc>
          <w:tcPr>
            <w:tcW w:type="dxa" w:w="6365"/>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Regenerate the report — the internal name lookup may not include a newer licence SKU</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 xml:space="preserve">Report seems slow to load</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 xml:space="preserve">Normal for larger tenants (500+ users or devices) — the sign-in log query in particular can take longer</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No Month-on-Month Changes section</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Expected on a tenant's first report, if the previous calendar month wasn't run for that tenant, or if One-off report was ticked. Run consecutive months with it unticked</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Upcoming licence renewals says data unavailable</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Needs Organization.Read.All with admin consent (the same permission as licence counts). The lookup can also time out — pull the data again</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SharePoint total doesn't match the SharePoint admin center</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Expected — the figures come from Microsoft's usage report, which lags 24 to 48 hours and includes hidden Teams-channel and system sites that the Active sites list hides. The type breakdown shows what makes up the difference</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Teams channels shows 0 but the client uses private channels</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Open the Diagnostics panel above the report — it lists the raw template values Microsoft returned. If no channel template (“Team Channel”) appears there, Microsoft's usage report isn't listing those sites for that tenant; send the template list to the developer</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Overseas sign-ins: “N of M days checked” or a “Sign-in history limit” note</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Microsoft slows or throttles the sign-in log, and only keeps it for 30 days (7 on free tenants). The Diagnostics panel shows how each date slice went. Pull the data again; for a period older than 30 days the limit can’t be avoided. If it keeps failing for one client, tick “Skip the overseas sign-in check” on that saved client</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Hundreds or thousands of overseas sign-ins from one country</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Usually a company VPN or gateway. An overseas IP address used by five or more different people is excluded automatically and the report says how many sign-ins were left out; the Diagnostics panel lists those addresses</w:t>
            </w:r>
          </w:p>
        </w:tc>
      </w:tr>
      <w:tr>
        <w:tc>
          <w:tcPr>
            <w:tcW w:type="dxa" w:w="299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bCs/>
                <w:i w:val="false"/>
                <w:iCs w:val="false"/>
                <w:color w:val="1F2937"/>
                <w:sz w:val="18"/>
                <w:szCs w:val="18"/>
              </w:rPr>
              <w:t>Report shows last month, not this month</w:t>
            </w:r>
          </w:p>
        </w:tc>
        <w:tc>
          <w:tcPr>
            <w:tcW w:type="dxa" w:w="6365"/>
            <w:tcBorders>
              <w:top w:val="single" w:color="E5E7EB" w:sz="4"/>
              <w:left w:val="single" w:color="E5E7EB" w:sz="4"/>
              <w:bottom w:val="single" w:color="E5E7EB" w:sz="4"/>
              <w:right w:val="single" w:color="E5E7EB" w:sz="4"/>
            </w:tcBorders>
            <w:shd w:fill="F9FAFB" w:val="clear"/>
            <w:tcMar>
              <w:top w:type="dxa" w:w="80"/>
              <w:left w:type="dxa" w:w="120"/>
              <w:bottom w:type="dxa" w:w="80"/>
              <w:right w:type="dxa" w:w="120"/>
            </w:tcMar>
          </w:tcPr>
          <w:p>
            <w:pPr>
              <w:spacing w:after="0" w:before="0"/>
              <w:jc w:val="left"/>
            </w:pPr>
            <w:r>
              <w:rPr>
                <w:rFonts w:ascii="Calibri" w:cs="Calibri" w:eastAsia="Calibri" w:hAnsi="Calibri"/>
                <w:b w:val="false"/>
                <w:bCs w:val="false"/>
                <w:i w:val="false"/>
                <w:iCs w:val="false"/>
                <w:color w:val="6B7280"/>
                <w:sz w:val="18"/>
                <w:szCs w:val="18"/>
              </w:rPr>
              <w:t>By design the dates default to the previous full calendar month. Change From and To on the Report details step for a different period</w:t>
            </w:r>
          </w:p>
        </w:tc>
      </w:tr>
    </w:tbl>
    <w:p>
      <w:pPr>
        <w:spacing w:after="120" w:before="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
        <w:gridCol w:w="9352"/>
      </w:tblGrid>
      <w:tr>
        <w:tc>
          <w:tcPr>
            <w:tcW w:type="dxa" w:w="8"/>
            <w:tcBorders>
              <w:top w:val="none" w:color="FFFFFF" w:sz="0"/>
              <w:left w:val="none" w:color="FFFFFF" w:sz="0"/>
              <w:bottom w:val="none" w:color="FFFFFF" w:sz="0"/>
              <w:right w:val="none" w:color="FFFFFF" w:sz="0"/>
            </w:tcBorders>
            <w:shd w:fill="1A8070" w:val="clear"/>
            <w:tcMar>
              <w:top w:type="dxa" w:w="0"/>
              <w:left w:type="dxa" w:w="0"/>
              <w:bottom w:type="dxa" w:w="0"/>
              <w:right w:type="dxa" w:w="0"/>
            </w:tcMar>
          </w:tcPr>
          <w:p>
            <w:pPr>
              <w:spacing w:after="0" w:before="0"/>
              <w:jc w:val="left"/>
            </w:pPr>
          </w:p>
        </w:tc>
        <w:tc>
          <w:tcPr>
            <w:tcW w:type="dxa" w:w="9352"/>
            <w:tcBorders>
              <w:top w:val="none" w:color="FFFFFF" w:sz="0"/>
              <w:left w:val="none" w:color="FFFFFF" w:sz="0"/>
              <w:bottom w:val="none" w:color="FFFFFF" w:sz="0"/>
              <w:right w:val="single" w:color="E5E7EB" w:sz="4"/>
            </w:tcBorders>
            <w:shd w:fill="F9FAFB" w:val="clear"/>
            <w:tcMar>
              <w:top w:type="dxa" w:w="80"/>
              <w:left w:type="dxa" w:w="160"/>
              <w:bottom w:type="dxa" w:w="80"/>
              <w:right w:type="dxa" w:w="120"/>
            </w:tcMar>
          </w:tcPr>
          <w:p>
            <w:pPr>
              <w:spacing w:after="0" w:before="0"/>
              <w:jc w:val="left"/>
            </w:pPr>
            <w:r>
              <w:rPr>
                <w:rFonts w:ascii="Calibri" w:cs="Calibri" w:eastAsia="Calibri" w:hAnsi="Calibri"/>
                <w:b w:val="false"/>
                <w:bCs w:val="false"/>
                <w:i w:val="false"/>
                <w:iCs w:val="false"/>
                <w:color w:val="1F2937"/>
                <w:sz w:val="18"/>
                <w:szCs w:val="18"/>
              </w:rPr>
              <w:t xml:space="preserve">For any issue not covered here, contact the developer with a screenshot of the error message and the approximate tenant size (device and user count).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2026-08-03T01:42:48.578Z</dcterms:created>
  <dcterms:modified xsi:type="dcterms:W3CDTF">2026-08-03T01:42:48.579Z</dcterms:modified>
</cp:coreProperties>
</file>

<file path=docProps/custom.xml><?xml version="1.0" encoding="utf-8"?>
<Properties xmlns="http://schemas.openxmlformats.org/officeDocument/2006/custom-properties" xmlns:vt="http://schemas.openxmlformats.org/officeDocument/2006/docPropsVTypes"/>
</file>