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single HTML file containing all markup, CSS, and JavaScript. There is no build step or bundler — the file is served as-is by Netlify. It implements a 3-page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the report is built automatically after the data is pulled (the former review step was removed). Full on-screen report, with Export to Word and browser print-to-PDF, and a collapsed, non-exported SharePoint template diagnostics panel (raw template values and their bucket); the header text links back to the start page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fills the diagnostics panel, buildReport builds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18 parallel Graph API calls in a first batch, followed by 2 more parallel sign-in-log calls (full-period and half-period fallback) in a second batch — 20 real Graph API calls in total — to build a single structured JSON payload of 50+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(full period + half-period fallback) run as their own parallel batch after the first 18 calls complete — the half-period result is used only if the full-period query errors or times out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channels, Classic, Other; the rare no-group team site STS#3 is counted in Other); the response includes templateBreakdown (raw value → bucket → sites/GB) for the diagnostics panel. sharepoint.teamsCount is separate: the number of Teams-enabled Microsoft 365 Groups, from one Graph call (/groups filtered on resourceProvisioningOptions ‘Team’), or null if unavailable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sections; the wizard no longer collects those fields (the review step was removed), so they are omitted, rendered when the account manager fills in the corresponding commentary fields — they carry no Graph-sourced data. Month-on-Month Changes is auto-generated and only rendered when a prior-month snapshot exists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 with spaces (e.g. “Site Page Publishing”)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18 parallel calls to Microsoft Graph (https://graph.microsoft.com/v1.0/...), followed by 2 more parallel sign-in-log calls (20 total)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channels, Classic, Other — Classic and Other are hidden when zero), number of Teams, M365 groups, security groups, storage used (binary GB), inactive sites and channels 180 days +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 full-period and half-period sign-in query run in parallel with each other (after the first 18 calls complete); the half-period result covers tenants where the full-period query times out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in the diagnostics panel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diagnostics panel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