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the client's display name.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SharePoint template diagnostics panel shows the raw SharePoint template values (not part of the report or its exports).</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 xml:space="preserve">Operating system breakdown, compliance status, encryption, antivirus, low disk space, and stale devices (no check-in for 90+ days). Non-compliant and unencrypted devices are listed individually with their assigned user.</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over-subscribed licences shown in red.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 separate Teams figure shows how many Microsoft Teams exist (Teams-enabled Microsoft 365 Groups), counted directly from Microsoft Graph; it is a count of Teams, not of sites. Also shown: storage used, Inactive Sites and Channels 180 days + (no recorded activity in 180+ days), and Microsoft 365 Group and Security Group counts. These figures come from Microsoft's usage reports, which run 24 to 48 hours behind and include hidden channel and system sites, so the total is normally higher than the Active sites list in the SharePoint admin center. Above the report, a collapsed SharePoint template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SharePoint template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