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E" w:val="clear"/>
            <w:tcMar>
              <w:top w:type="dxa" w:w="400"/>
              <w:left w:type="dxa" w:w="300"/>
              <w:bottom w:type="dxa" w:w="400"/>
              <w:right w:type="dxa" w:w="300"/>
            </w:tcMar>
          </w:tcPr>
          <w:p>
            <w:pPr>
              <w:spacing w:after="80" w:before="0"/>
              <w:jc w:val="left"/>
            </w:pPr>
            <w:r>
              <w:rPr>
                <w:rFonts w:ascii="Calibri" w:cs="Calibri" w:eastAsia="Calibri" w:hAnsi="Calibri"/>
                <w:b/>
                <w:bCs/>
                <w:i w:val="false"/>
                <w:iCs w:val="false"/>
                <w:color w:val="FFFFFF"/>
                <w:sz w:val="26"/>
                <w:szCs w:val="26"/>
              </w:rPr>
              <w:t xml:space="preserve">Integricity Technology</w:t>
            </w:r>
          </w:p>
          <w:p>
            <w:pPr>
              <w:spacing w:after="80" w:before="0"/>
              <w:jc w:val="left"/>
            </w:pPr>
            <w:r>
              <w:rPr>
                <w:rFonts w:ascii="Calibri" w:cs="Calibri" w:eastAsia="Calibri" w:hAnsi="Calibri"/>
                <w:b/>
                <w:bCs/>
                <w:i w:val="false"/>
                <w:iCs w:val="false"/>
                <w:color w:val="FFFFFF"/>
                <w:sz w:val="52"/>
                <w:szCs w:val="52"/>
              </w:rPr>
              <w:t xml:space="preserve">MSP Report Builder</w:t>
            </w:r>
          </w:p>
          <w:p>
            <w:pPr>
              <w:spacing w:after="120" w:before="0"/>
              <w:jc w:val="left"/>
            </w:pPr>
            <w:r>
              <w:rPr>
                <w:rFonts w:ascii="Calibri" w:cs="Calibri" w:eastAsia="Calibri" w:hAnsi="Calibri"/>
                <w:b w:val="false"/>
                <w:bCs w:val="false"/>
                <w:i w:val="false"/>
                <w:iCs w:val="false"/>
                <w:color w:val="AACCEE"/>
                <w:sz w:val="26"/>
                <w:szCs w:val="26"/>
              </w:rPr>
              <w:t xml:space="preserve">Setup Guide — New Tenant Onboarding</w:t>
            </w:r>
          </w:p>
          <w:p>
            <w:pPr>
              <w:spacing w:after="0" w:before="0"/>
              <w:jc w:val="left"/>
            </w:pPr>
            <w:r>
              <w:rPr>
                <w:rFonts w:ascii="Calibri" w:cs="Calibri" w:eastAsia="Calibri" w:hAnsi="Calibri"/>
                <w:b w:val="false"/>
                <w:bCs w:val="false"/>
                <w:i w:val="false"/>
                <w:iCs w:val="false"/>
                <w:color w:val="7799BB"/>
                <w:sz w:val="18"/>
                <w:szCs w:val="18"/>
              </w:rPr>
              <w:t>October 2026 · v8</w:t>
            </w:r>
          </w:p>
        </w:tc>
      </w:tr>
    </w:tbl>
    <w:p>
      <w:pPr>
        <w:spacing w:after="320" w:before="0"/>
        <w:jc w:val="left"/>
      </w:pPr>
    </w:p>
    <w:p>
      <w:pPr>
        <w:pStyle w:val="Heading1"/>
        <w:pBdr>
          <w:bottom w:val="single" w:color="0D7CC4" w:sz="8"/>
        </w:pBdr>
        <w:spacing w:after="120" w:before="360"/>
      </w:pPr>
      <w:r>
        <w:rPr>
          <w:rFonts w:ascii="Calibri" w:cs="Calibri" w:eastAsia="Calibri" w:hAnsi="Calibri"/>
          <w:b/>
          <w:bCs/>
          <w:i w:val="false"/>
          <w:iCs w:val="false"/>
          <w:color w:val="0D7CC4"/>
          <w:sz w:val="30"/>
          <w:szCs w:val="30"/>
        </w:rPr>
        <w:t xml:space="preserve">Overview</w:t>
      </w:r>
    </w:p>
    <w:p>
      <w:pPr>
        <w:spacing w:after="120" w:before="0"/>
        <w:jc w:val="left"/>
      </w:pPr>
      <w:r>
        <w:rPr>
          <w:rFonts w:ascii="Calibri" w:cs="Calibri" w:eastAsia="Calibri" w:hAnsi="Calibri"/>
          <w:b w:val="false"/>
          <w:bCs w:val="false"/>
          <w:i w:val="false"/>
          <w:iCs w:val="false"/>
          <w:color w:val="1F2937"/>
          <w:sz w:val="19"/>
          <w:szCs w:val="19"/>
        </w:rPr>
        <w:t xml:space="preserve">The MSP Report Builder pulls live data from Microsoft Graph API on behalf of each client tenant. To do this securely, an App Registration must be created in each client's Microsoft Entra ID tenant, granting 12 read-only Graph API permissions. This guide walks through that setup step by step for a brand new tenant.</w:t>
      </w:r>
    </w:p>
    <w:p>
      <w:pPr>
        <w:spacing w:after="120" w:before="0"/>
        <w:jc w:val="left"/>
      </w:pPr>
      <w:r>
        <w:rPr>
          <w:rFonts w:ascii="Calibri" w:cs="Calibri" w:eastAsia="Calibri" w:hAnsi="Calibri"/>
          <w:b w:val="false"/>
          <w:bCs w:val="false"/>
          <w:i w:val="false"/>
          <w:iCs w:val="false"/>
          <w:color w:val="1F2937"/>
          <w:sz w:val="19"/>
          <w:szCs w:val="19"/>
        </w:rPr>
        <w:t xml:space="preserve">Once configured, the client's Tenant ID, Client ID, and Client Secret are entered into the report builder at https://integricitymsp.netlify.app. This is a one-off setup per client — once complete, generating a report each month takes only a few minutes.</w:t>
      </w:r>
    </w:p>
    <w:p>
      <w:pPr>
        <w:spacing w:after="12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
        <w:gridCol w:w="9352"/>
      </w:tblGrid>
      <w:tr>
        <w:tc>
          <w:tcPr>
            <w:tcW w:type="dxa" w:w="8"/>
            <w:tcBorders>
              <w:top w:val="none" w:color="FFFFFF" w:sz="0"/>
              <w:left w:val="none" w:color="FFFFFF" w:sz="0"/>
              <w:bottom w:val="none" w:color="FFFFFF" w:sz="0"/>
              <w:right w:val="none" w:color="FFFFFF" w:sz="0"/>
            </w:tcBorders>
            <w:shd w:fill="0D7CC4" w:val="clear"/>
            <w:tcMar>
              <w:top w:type="dxa" w:w="0"/>
              <w:left w:type="dxa" w:w="0"/>
              <w:bottom w:type="dxa" w:w="0"/>
              <w:right w:type="dxa" w:w="0"/>
            </w:tcMar>
          </w:tcPr>
          <w:p>
            <w:pPr>
              <w:spacing w:after="0" w:before="0"/>
              <w:jc w:val="left"/>
            </w:pPr>
          </w:p>
        </w:tc>
        <w:tc>
          <w:tcPr>
            <w:tcW w:type="dxa" w:w="9352"/>
            <w:tcBorders>
              <w:top w:val="none" w:color="FFFFFF" w:sz="0"/>
              <w:left w:val="none" w:color="FFFFFF" w:sz="0"/>
              <w:bottom w:val="none" w:color="FFFFFF" w:sz="0"/>
              <w:right w:val="single" w:color="E5E7EB" w:sz="4"/>
            </w:tcBorders>
            <w:shd w:fill="F9FAFB" w:val="clear"/>
            <w:tcMar>
              <w:top w:type="dxa" w:w="80"/>
              <w:left w:type="dxa" w:w="160"/>
              <w:bottom w:type="dxa" w:w="80"/>
              <w:right w:type="dxa" w:w="120"/>
            </w:tcMar>
          </w:tcPr>
          <w:p>
            <w:pPr>
              <w:spacing w:after="0" w:before="0"/>
              <w:jc w:val="left"/>
            </w:pPr>
            <w:r>
              <w:rPr>
                <w:rFonts w:ascii="Calibri" w:cs="Calibri" w:eastAsia="Calibri" w:hAnsi="Calibri"/>
                <w:b w:val="false"/>
                <w:bCs w:val="false"/>
                <w:i w:val="false"/>
                <w:iCs w:val="false"/>
                <w:color w:val="1F2937"/>
                <w:sz w:val="18"/>
                <w:szCs w:val="18"/>
              </w:rPr>
              <w:t xml:space="preserve">Estimated time: 10-15 minutes per tenant. Requires Global Administrator access to the client's Microsoft 365 tenant for at least the admin consent step.</w:t>
            </w:r>
          </w:p>
        </w:tc>
      </w:tr>
    </w:tbl>
    <w:p>
      <w:pPr>
        <w:spacing w:after="200" w:before="0"/>
        <w:jc w:val="left"/>
      </w:pPr>
    </w:p>
    <w:p>
      <w:pPr>
        <w:pStyle w:val="Heading1"/>
        <w:pBdr>
          <w:bottom w:val="single" w:color="0D7CC4" w:sz="8"/>
        </w:pBdr>
        <w:spacing w:after="120" w:before="360"/>
      </w:pPr>
      <w:r>
        <w:rPr>
          <w:rFonts w:ascii="Calibri" w:cs="Calibri" w:eastAsia="Calibri" w:hAnsi="Calibri"/>
          <w:b/>
          <w:bCs/>
          <w:i w:val="false"/>
          <w:iCs w:val="false"/>
          <w:color w:val="0D7CC4"/>
          <w:sz w:val="30"/>
          <w:szCs w:val="30"/>
        </w:rPr>
        <w:t xml:space="preserve">Prerequisites</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 xml:space="preserve">Access level: Global Administrator or Privileged Role Administrator in the client's tenant. Admin consent (Step 6) specifically requires Global Administrator.</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 xml:space="preserve">Microsoft 365 licences: the client must have Microsoft 365 Business Premium, E3, or E5 (or Intune standalone)</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 xml:space="preserve">Intune: Microsoft Intune must be active with enrolled devices present in the tenant</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 xml:space="preserve">Browser: any modern browser with access to entra.microsoft.com</w:t>
      </w:r>
    </w:p>
    <w:p>
      <w:pPr>
        <w:spacing w:after="200" w:before="0"/>
        <w:jc w:val="left"/>
      </w:pPr>
    </w:p>
    <w:p>
      <w:pPr>
        <w:pStyle w:val="Heading1"/>
        <w:pBdr>
          <w:bottom w:val="single" w:color="8C0C6E" w:sz="8"/>
        </w:pBdr>
        <w:spacing w:after="120" w:before="360"/>
      </w:pPr>
      <w:r>
        <w:rPr>
          <w:rFonts w:ascii="Calibri" w:cs="Calibri" w:eastAsia="Calibri" w:hAnsi="Calibri"/>
          <w:b/>
          <w:bCs/>
          <w:i w:val="false"/>
          <w:iCs w:val="false"/>
          <w:color w:val="8C0C6E"/>
          <w:sz w:val="30"/>
          <w:szCs w:val="30"/>
        </w:rPr>
        <w:t xml:space="preserve">Step-by-Step Setup</w:t>
      </w:r>
    </w:p>
    <w:p>
      <w:pPr>
        <w:spacing w:after="60" w:before="180"/>
      </w:pPr>
      <w:r>
        <w:rPr>
          <w:rFonts w:ascii="Calibri" w:cs="Calibri" w:eastAsia="Calibri" w:hAnsi="Calibri"/>
          <w:b/>
          <w:bCs/>
          <w:i w:val="false"/>
          <w:iCs w:val="false"/>
          <w:color w:val="0D7CC4"/>
          <w:sz w:val="19"/>
          <w:szCs w:val="19"/>
        </w:rPr>
        <w:t xml:space="preserve">Step 1 — </w:t>
      </w:r>
      <w:r>
        <w:rPr>
          <w:rFonts w:ascii="Calibri" w:cs="Calibri" w:eastAsia="Calibri" w:hAnsi="Calibri"/>
          <w:b/>
          <w:bCs/>
          <w:i w:val="false"/>
          <w:iCs w:val="false"/>
          <w:color w:val="1F2937"/>
          <w:sz w:val="19"/>
          <w:szCs w:val="19"/>
        </w:rPr>
        <w:t xml:space="preserve">Sign in to Microsoft Entra admin centre</w:t>
      </w:r>
    </w:p>
    <w:p>
      <w:pPr>
        <w:spacing w:after="120" w:before="0"/>
        <w:jc w:val="left"/>
      </w:pPr>
      <w:r>
        <w:rPr>
          <w:rFonts w:ascii="Calibri" w:cs="Calibri" w:eastAsia="Calibri" w:hAnsi="Calibri"/>
          <w:b w:val="false"/>
          <w:bCs w:val="false"/>
          <w:i w:val="false"/>
          <w:iCs w:val="false"/>
          <w:color w:val="6B7280"/>
          <w:sz w:val="19"/>
          <w:szCs w:val="19"/>
        </w:rPr>
        <w:t xml:space="preserve">Navigate to entra.microsoft.com and sign in with a Global Administrator account for the client tenant.</w:t>
      </w:r>
    </w:p>
    <w:p>
      <w:pPr>
        <w:spacing w:after="60" w:before="180"/>
      </w:pPr>
      <w:r>
        <w:rPr>
          <w:rFonts w:ascii="Calibri" w:cs="Calibri" w:eastAsia="Calibri" w:hAnsi="Calibri"/>
          <w:b/>
          <w:bCs/>
          <w:i w:val="false"/>
          <w:iCs w:val="false"/>
          <w:color w:val="0D7CC4"/>
          <w:sz w:val="19"/>
          <w:szCs w:val="19"/>
        </w:rPr>
        <w:t xml:space="preserve">Step 2 — </w:t>
      </w:r>
      <w:r>
        <w:rPr>
          <w:rFonts w:ascii="Calibri" w:cs="Calibri" w:eastAsia="Calibri" w:hAnsi="Calibri"/>
          <w:b/>
          <w:bCs/>
          <w:i w:val="false"/>
          <w:iCs w:val="false"/>
          <w:color w:val="1F2937"/>
          <w:sz w:val="19"/>
          <w:szCs w:val="19"/>
        </w:rPr>
        <w:t xml:space="preserve">Create a new App Registration</w:t>
      </w:r>
    </w:p>
    <w:p>
      <w:pPr>
        <w:spacing w:after="120" w:before="0"/>
        <w:jc w:val="left"/>
      </w:pPr>
      <w:r>
        <w:rPr>
          <w:rFonts w:ascii="Calibri" w:cs="Calibri" w:eastAsia="Calibri" w:hAnsi="Calibri"/>
          <w:b w:val="false"/>
          <w:bCs w:val="false"/>
          <w:i w:val="false"/>
          <w:iCs w:val="false"/>
          <w:color w:val="6B7280"/>
          <w:sz w:val="19"/>
          <w:szCs w:val="19"/>
        </w:rPr>
        <w:t xml:space="preserve">Go to Applications → App registrations → New registration, and fill in the form:</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 xml:space="preserve">Name: Integricity MSP Report Builder (or any recognisable name)</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 xml:space="preserve">Supported account types: Accounts in this organisational directory only (Single tenant)</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 xml:space="preserve">Redirect URI: leave blank — not required for the client credentials flow</w:t>
      </w:r>
    </w:p>
    <w:p>
      <w:pPr>
        <w:spacing w:after="120" w:before="0"/>
        <w:jc w:val="left"/>
      </w:pPr>
      <w:r>
        <w:rPr>
          <w:rFonts w:ascii="Calibri" w:cs="Calibri" w:eastAsia="Calibri" w:hAnsi="Calibri"/>
          <w:b w:val="false"/>
          <w:bCs w:val="false"/>
          <w:i w:val="false"/>
          <w:iCs w:val="false"/>
          <w:color w:val="6B7280"/>
          <w:sz w:val="19"/>
          <w:szCs w:val="19"/>
        </w:rPr>
        <w:t xml:space="preserve">Click Register.</w:t>
      </w:r>
    </w:p>
    <w:p>
      <w:pPr>
        <w:spacing w:after="60" w:before="180"/>
      </w:pPr>
      <w:r>
        <w:rPr>
          <w:rFonts w:ascii="Calibri" w:cs="Calibri" w:eastAsia="Calibri" w:hAnsi="Calibri"/>
          <w:b/>
          <w:bCs/>
          <w:i w:val="false"/>
          <w:iCs w:val="false"/>
          <w:color w:val="0D7CC4"/>
          <w:sz w:val="19"/>
          <w:szCs w:val="19"/>
        </w:rPr>
        <w:t xml:space="preserve">Step 3 — </w:t>
      </w:r>
      <w:r>
        <w:rPr>
          <w:rFonts w:ascii="Calibri" w:cs="Calibri" w:eastAsia="Calibri" w:hAnsi="Calibri"/>
          <w:b/>
          <w:bCs/>
          <w:i w:val="false"/>
          <w:iCs w:val="false"/>
          <w:color w:val="1F2937"/>
          <w:sz w:val="19"/>
          <w:szCs w:val="19"/>
        </w:rPr>
        <w:t xml:space="preserve">Note your Tenant ID and Client ID</w:t>
      </w:r>
    </w:p>
    <w:p>
      <w:pPr>
        <w:spacing w:after="120" w:before="0"/>
        <w:jc w:val="left"/>
      </w:pPr>
      <w:r>
        <w:rPr>
          <w:rFonts w:ascii="Calibri" w:cs="Calibri" w:eastAsia="Calibri" w:hAnsi="Calibri"/>
          <w:b w:val="false"/>
          <w:bCs w:val="false"/>
          <w:i w:val="false"/>
          <w:iCs w:val="false"/>
          <w:color w:val="6B7280"/>
          <w:sz w:val="19"/>
          <w:szCs w:val="19"/>
        </w:rPr>
        <w:t xml:space="preserve">After registering, you land on the app's Overview page. Note down:</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 xml:space="preserve">Application (client) ID — this is the Client ID</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 xml:space="preserve">Directory (tenant) ID — this is the Tenant ID</w:t>
      </w:r>
    </w:p>
    <w:p>
      <w:pPr>
        <w:spacing w:after="60" w:before="180"/>
      </w:pPr>
      <w:r>
        <w:rPr>
          <w:rFonts w:ascii="Calibri" w:cs="Calibri" w:eastAsia="Calibri" w:hAnsi="Calibri"/>
          <w:b/>
          <w:bCs/>
          <w:i w:val="false"/>
          <w:iCs w:val="false"/>
          <w:color w:val="0D7CC4"/>
          <w:sz w:val="19"/>
          <w:szCs w:val="19"/>
        </w:rPr>
        <w:t xml:space="preserve">Step 4 — </w:t>
      </w:r>
      <w:r>
        <w:rPr>
          <w:rFonts w:ascii="Calibri" w:cs="Calibri" w:eastAsia="Calibri" w:hAnsi="Calibri"/>
          <w:b/>
          <w:bCs/>
          <w:i w:val="false"/>
          <w:iCs w:val="false"/>
          <w:color w:val="1F2937"/>
          <w:sz w:val="19"/>
          <w:szCs w:val="19"/>
        </w:rPr>
        <w:t xml:space="preserve">Create a Client Secret</w:t>
      </w:r>
    </w:p>
    <w:p>
      <w:pPr>
        <w:spacing w:after="120" w:before="0"/>
        <w:jc w:val="left"/>
      </w:pPr>
      <w:r>
        <w:rPr>
          <w:rFonts w:ascii="Calibri" w:cs="Calibri" w:eastAsia="Calibri" w:hAnsi="Calibri"/>
          <w:b w:val="false"/>
          <w:bCs w:val="false"/>
          <w:i w:val="false"/>
          <w:iCs w:val="false"/>
          <w:color w:val="6B7280"/>
          <w:sz w:val="19"/>
          <w:szCs w:val="19"/>
        </w:rPr>
        <w:t xml:space="preserve">Go to Certificates &amp; secrets → Client secrets → New client secret.</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 xml:space="preserve">Description: Integricity MSP Report Builder</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 xml:space="preserve">Expires: choose 12 or 24 months (set a calendar reminder to renew before expiry)</w:t>
      </w:r>
    </w:p>
    <w:p>
      <w:pPr>
        <w:spacing w:after="120" w:before="0"/>
        <w:jc w:val="left"/>
      </w:pPr>
      <w:r>
        <w:rPr>
          <w:rFonts w:ascii="Calibri" w:cs="Calibri" w:eastAsia="Calibri" w:hAnsi="Calibri"/>
          <w:b w:val="false"/>
          <w:bCs w:val="false"/>
          <w:i w:val="false"/>
          <w:iCs w:val="false"/>
          <w:color w:val="6B7280"/>
          <w:sz w:val="19"/>
          <w:szCs w:val="19"/>
        </w:rPr>
        <w:t xml:space="preserve">Click Add.</w:t>
      </w:r>
    </w:p>
    <w:p>
      <w:pPr>
        <w:spacing w:after="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
        <w:gridCol w:w="9352"/>
      </w:tblGrid>
      <w:tr>
        <w:tc>
          <w:tcPr>
            <w:tcW w:type="dxa" w:w="8"/>
            <w:tcBorders>
              <w:top w:val="none" w:color="FFFFFF" w:sz="0"/>
              <w:left w:val="none" w:color="FFFFFF" w:sz="0"/>
              <w:bottom w:val="none" w:color="FFFFFF" w:sz="0"/>
              <w:right w:val="none" w:color="FFFFFF" w:sz="0"/>
            </w:tcBorders>
            <w:shd w:fill="C0152A" w:val="clear"/>
            <w:tcMar>
              <w:top w:type="dxa" w:w="0"/>
              <w:left w:type="dxa" w:w="0"/>
              <w:bottom w:type="dxa" w:w="0"/>
              <w:right w:type="dxa" w:w="0"/>
            </w:tcMar>
          </w:tcPr>
          <w:p>
            <w:pPr>
              <w:spacing w:after="0" w:before="0"/>
              <w:jc w:val="left"/>
            </w:pPr>
          </w:p>
        </w:tc>
        <w:tc>
          <w:tcPr>
            <w:tcW w:type="dxa" w:w="9352"/>
            <w:tcBorders>
              <w:top w:val="none" w:color="FFFFFF" w:sz="0"/>
              <w:left w:val="none" w:color="FFFFFF" w:sz="0"/>
              <w:bottom w:val="none" w:color="FFFFFF" w:sz="0"/>
              <w:right w:val="single" w:color="E5E7EB" w:sz="4"/>
            </w:tcBorders>
            <w:shd w:fill="F9FAFB" w:val="clear"/>
            <w:tcMar>
              <w:top w:type="dxa" w:w="80"/>
              <w:left w:type="dxa" w:w="160"/>
              <w:bottom w:type="dxa" w:w="80"/>
              <w:right w:type="dxa" w:w="120"/>
            </w:tcMar>
          </w:tcPr>
          <w:p>
            <w:pPr>
              <w:spacing w:after="0" w:before="0"/>
              <w:jc w:val="left"/>
            </w:pPr>
            <w:r>
              <w:rPr>
                <w:rFonts w:ascii="Calibri" w:cs="Calibri" w:eastAsia="Calibri" w:hAnsi="Calibri"/>
                <w:b w:val="false"/>
                <w:bCs w:val="false"/>
                <w:i w:val="false"/>
                <w:iCs w:val="false"/>
                <w:color w:val="1F2937"/>
                <w:sz w:val="18"/>
                <w:szCs w:val="18"/>
              </w:rPr>
              <w:t xml:space="preserve">Copy the secret Value immediately after creation. It will not be shown again. The Secret ID is not what you need — copy the Value column.</w:t>
            </w:r>
          </w:p>
        </w:tc>
      </w:tr>
    </w:tbl>
    <w:p>
      <w:pPr>
        <w:spacing w:after="120" w:before="0"/>
        <w:jc w:val="left"/>
      </w:pPr>
    </w:p>
    <w:p>
      <w:pPr>
        <w:spacing w:after="60" w:before="180"/>
      </w:pPr>
      <w:r>
        <w:rPr>
          <w:rFonts w:ascii="Calibri" w:cs="Calibri" w:eastAsia="Calibri" w:hAnsi="Calibri"/>
          <w:b/>
          <w:bCs/>
          <w:i w:val="false"/>
          <w:iCs w:val="false"/>
          <w:color w:val="0D7CC4"/>
          <w:sz w:val="19"/>
          <w:szCs w:val="19"/>
        </w:rPr>
        <w:t xml:space="preserve">Step 5 — </w:t>
      </w:r>
      <w:r>
        <w:rPr>
          <w:rFonts w:ascii="Calibri" w:cs="Calibri" w:eastAsia="Calibri" w:hAnsi="Calibri"/>
          <w:b/>
          <w:bCs/>
          <w:i w:val="false"/>
          <w:iCs w:val="false"/>
          <w:color w:val="1F2937"/>
          <w:sz w:val="19"/>
          <w:szCs w:val="19"/>
        </w:rPr>
        <w:t xml:space="preserve">Add API permissions</w:t>
      </w:r>
    </w:p>
    <w:p>
      <w:pPr>
        <w:spacing w:after="120" w:before="0"/>
        <w:jc w:val="left"/>
      </w:pPr>
      <w:r>
        <w:rPr>
          <w:rFonts w:ascii="Calibri" w:cs="Calibri" w:eastAsia="Calibri" w:hAnsi="Calibri"/>
          <w:b w:val="false"/>
          <w:bCs w:val="false"/>
          <w:i w:val="false"/>
          <w:iCs w:val="false"/>
          <w:color w:val="6B7280"/>
          <w:sz w:val="19"/>
          <w:szCs w:val="19"/>
        </w:rPr>
        <w:t xml:space="preserve">Go to API permissions → Add a permission → Microsoft Graph → Application permissions, and search for and add each of the following:</w:t>
      </w:r>
    </w:p>
    <w:p>
      <w:pPr>
        <w:spacing w:after="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5148"/>
        <w:gridCol w:w="1404"/>
      </w:tblGrid>
      <w:tr>
        <w:tc>
          <w:tcPr>
            <w:tcW w:type="dxa" w:w="2808"/>
            <w:tcBorders>
              <w:top w:val="single" w:color="E5E7EB" w:sz="4"/>
              <w:left w:val="single" w:color="E5E7EB" w:sz="4"/>
              <w:bottom w:val="single" w:color="E5E7EB" w:sz="4"/>
              <w:right w:val="single" w:color="E5E7EB" w:sz="4"/>
            </w:tcBorders>
            <w:shd w:fill="1F2937"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FFFFFF"/>
                <w:sz w:val="18"/>
                <w:szCs w:val="18"/>
              </w:rPr>
              <w:t xml:space="preserve">Permission</w:t>
            </w:r>
          </w:p>
        </w:tc>
        <w:tc>
          <w:tcPr>
            <w:tcW w:type="dxa" w:w="5148"/>
            <w:tcBorders>
              <w:top w:val="single" w:color="E5E7EB" w:sz="4"/>
              <w:left w:val="single" w:color="E5E7EB" w:sz="4"/>
              <w:bottom w:val="single" w:color="E5E7EB" w:sz="4"/>
              <w:right w:val="single" w:color="E5E7EB" w:sz="4"/>
            </w:tcBorders>
            <w:shd w:fill="1F2937"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FFFFFF"/>
                <w:sz w:val="18"/>
                <w:szCs w:val="18"/>
              </w:rPr>
              <w:t xml:space="preserve">Used for</w:t>
            </w:r>
          </w:p>
        </w:tc>
        <w:tc>
          <w:tcPr>
            <w:tcW w:type="dxa" w:w="1404"/>
            <w:tcBorders>
              <w:top w:val="single" w:color="E5E7EB" w:sz="4"/>
              <w:left w:val="single" w:color="E5E7EB" w:sz="4"/>
              <w:bottom w:val="single" w:color="E5E7EB" w:sz="4"/>
              <w:right w:val="single" w:color="E5E7EB" w:sz="4"/>
            </w:tcBorders>
            <w:shd w:fill="1F2937"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FFFFFF"/>
                <w:sz w:val="18"/>
                <w:szCs w:val="18"/>
              </w:rPr>
              <w:t xml:space="preserve">Status</w:t>
            </w:r>
          </w:p>
        </w:tc>
      </w:tr>
      <w:tr>
        <w:tc>
          <w:tcPr>
            <w:tcW w:type="dxa" w:w="280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A8070"/>
                <w:sz w:val="17"/>
                <w:szCs w:val="17"/>
              </w:rPr>
              <w:t xml:space="preserve">DeviceManagementManagedDevices.Read.All</w:t>
            </w:r>
          </w:p>
        </w:tc>
        <w:tc>
          <w:tcPr>
            <w:tcW w:type="dxa" w:w="514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7"/>
                <w:szCs w:val="17"/>
              </w:rPr>
              <w:t xml:space="preserve">Device inventory, compliance, patch status, encryption, disk space, device types</w:t>
            </w:r>
          </w:p>
        </w:tc>
        <w:tc>
          <w:tcPr>
            <w:tcW w:type="dxa" w:w="1404"/>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66534"/>
                <w:sz w:val="16"/>
                <w:szCs w:val="16"/>
              </w:rPr>
              <w:t xml:space="preserve">Required</w:t>
            </w:r>
          </w:p>
        </w:tc>
      </w:tr>
      <w:tr>
        <w:tc>
          <w:tcPr>
            <w:tcW w:type="dxa" w:w="280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A8070"/>
                <w:sz w:val="17"/>
                <w:szCs w:val="17"/>
              </w:rPr>
              <w:t xml:space="preserve">DeviceManagementConfiguration.Read.All</w:t>
            </w:r>
          </w:p>
        </w:tc>
        <w:tc>
          <w:tcPr>
            <w:tcW w:type="dxa" w:w="514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7"/>
                <w:szCs w:val="17"/>
              </w:rPr>
              <w:t xml:space="preserve">Compliance policies</w:t>
            </w:r>
          </w:p>
        </w:tc>
        <w:tc>
          <w:tcPr>
            <w:tcW w:type="dxa" w:w="1404"/>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66534"/>
                <w:sz w:val="16"/>
                <w:szCs w:val="16"/>
              </w:rPr>
              <w:t xml:space="preserve">Required</w:t>
            </w:r>
          </w:p>
        </w:tc>
      </w:tr>
      <w:tr>
        <w:tc>
          <w:tcPr>
            <w:tcW w:type="dxa" w:w="280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A8070"/>
                <w:sz w:val="17"/>
                <w:szCs w:val="17"/>
              </w:rPr>
              <w:t xml:space="preserve">DeviceManagementApps.Read.All</w:t>
            </w:r>
          </w:p>
        </w:tc>
        <w:tc>
          <w:tcPr>
            <w:tcW w:type="dxa" w:w="514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7"/>
                <w:szCs w:val="17"/>
              </w:rPr>
              <w:t xml:space="preserve">App protection (MAM) policies</w:t>
            </w:r>
          </w:p>
        </w:tc>
        <w:tc>
          <w:tcPr>
            <w:tcW w:type="dxa" w:w="1404"/>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66534"/>
                <w:sz w:val="16"/>
                <w:szCs w:val="16"/>
              </w:rPr>
              <w:t xml:space="preserve">Required</w:t>
            </w:r>
          </w:p>
        </w:tc>
      </w:tr>
      <w:tr>
        <w:tc>
          <w:tcPr>
            <w:tcW w:type="dxa" w:w="280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A8070"/>
                <w:sz w:val="17"/>
                <w:szCs w:val="17"/>
              </w:rPr>
              <w:t xml:space="preserve">Policy.Read.All</w:t>
            </w:r>
          </w:p>
        </w:tc>
        <w:tc>
          <w:tcPr>
            <w:tcW w:type="dxa" w:w="514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7"/>
                <w:szCs w:val="17"/>
              </w:rPr>
              <w:t xml:space="preserve">Conditional Access policies, security defaults, authentication methods</w:t>
            </w:r>
          </w:p>
        </w:tc>
        <w:tc>
          <w:tcPr>
            <w:tcW w:type="dxa" w:w="1404"/>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66534"/>
                <w:sz w:val="16"/>
                <w:szCs w:val="16"/>
              </w:rPr>
              <w:t xml:space="preserve">Required</w:t>
            </w:r>
          </w:p>
        </w:tc>
      </w:tr>
      <w:tr>
        <w:tc>
          <w:tcPr>
            <w:tcW w:type="dxa" w:w="280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A8070"/>
                <w:sz w:val="17"/>
                <w:szCs w:val="17"/>
              </w:rPr>
              <w:t xml:space="preserve">SecurityEvents.Read.All</w:t>
            </w:r>
          </w:p>
        </w:tc>
        <w:tc>
          <w:tcPr>
            <w:tcW w:type="dxa" w:w="514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7"/>
                <w:szCs w:val="17"/>
              </w:rPr>
              <w:t xml:space="preserve">Microsoft Secure Score</w:t>
            </w:r>
          </w:p>
        </w:tc>
        <w:tc>
          <w:tcPr>
            <w:tcW w:type="dxa" w:w="1404"/>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66534"/>
                <w:sz w:val="16"/>
                <w:szCs w:val="16"/>
              </w:rPr>
              <w:t xml:space="preserve">Required</w:t>
            </w:r>
          </w:p>
        </w:tc>
      </w:tr>
      <w:tr>
        <w:tc>
          <w:tcPr>
            <w:tcW w:type="dxa" w:w="280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A8070"/>
                <w:sz w:val="17"/>
                <w:szCs w:val="17"/>
              </w:rPr>
              <w:t xml:space="preserve">IdentityRiskyUser.Read.All</w:t>
            </w:r>
          </w:p>
        </w:tc>
        <w:tc>
          <w:tcPr>
            <w:tcW w:type="dxa" w:w="514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7"/>
                <w:szCs w:val="17"/>
              </w:rPr>
              <w:t xml:space="preserve">Entra ID Protection — risky user accounts</w:t>
            </w:r>
          </w:p>
        </w:tc>
        <w:tc>
          <w:tcPr>
            <w:tcW w:type="dxa" w:w="1404"/>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66534"/>
                <w:sz w:val="16"/>
                <w:szCs w:val="16"/>
              </w:rPr>
              <w:t xml:space="preserve">Required</w:t>
            </w:r>
          </w:p>
        </w:tc>
      </w:tr>
      <w:tr>
        <w:tc>
          <w:tcPr>
            <w:tcW w:type="dxa" w:w="280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A8070"/>
                <w:sz w:val="17"/>
                <w:szCs w:val="17"/>
              </w:rPr>
              <w:t xml:space="preserve">AuditLog.Read.All</w:t>
            </w:r>
          </w:p>
        </w:tc>
        <w:tc>
          <w:tcPr>
            <w:tcW w:type="dxa" w:w="514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7"/>
                <w:szCs w:val="17"/>
              </w:rPr>
              <w:t xml:space="preserve">User last sign-in dates, sign-ins from outside AU/NZ/MY</w:t>
            </w:r>
          </w:p>
        </w:tc>
        <w:tc>
          <w:tcPr>
            <w:tcW w:type="dxa" w:w="1404"/>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66534"/>
                <w:sz w:val="16"/>
                <w:szCs w:val="16"/>
              </w:rPr>
              <w:t xml:space="preserve">Required</w:t>
            </w:r>
          </w:p>
        </w:tc>
      </w:tr>
      <w:tr>
        <w:tc>
          <w:tcPr>
            <w:tcW w:type="dxa" w:w="280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A8070"/>
                <w:sz w:val="17"/>
                <w:szCs w:val="17"/>
              </w:rPr>
              <w:t xml:space="preserve">User.Read.All</w:t>
            </w:r>
          </w:p>
        </w:tc>
        <w:tc>
          <w:tcPr>
            <w:tcW w:type="dxa" w:w="514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7"/>
                <w:szCs w:val="17"/>
              </w:rPr>
              <w:t xml:space="preserve">User list, guest count, licence assignments, shared mailboxes, inactive accounts</w:t>
            </w:r>
          </w:p>
        </w:tc>
        <w:tc>
          <w:tcPr>
            <w:tcW w:type="dxa" w:w="1404"/>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66534"/>
                <w:sz w:val="16"/>
                <w:szCs w:val="16"/>
              </w:rPr>
              <w:t xml:space="preserve">Required</w:t>
            </w:r>
          </w:p>
        </w:tc>
      </w:tr>
      <w:tr>
        <w:tc>
          <w:tcPr>
            <w:tcW w:type="dxa" w:w="280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A8070"/>
                <w:sz w:val="17"/>
                <w:szCs w:val="17"/>
              </w:rPr>
              <w:t xml:space="preserve">RoleManagement.Read.Directory</w:t>
            </w:r>
          </w:p>
        </w:tc>
        <w:tc>
          <w:tcPr>
            <w:tcW w:type="dxa" w:w="514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7"/>
                <w:szCs w:val="17"/>
              </w:rPr>
              <w:t xml:space="preserve">Admin role holders and their role names</w:t>
            </w:r>
          </w:p>
        </w:tc>
        <w:tc>
          <w:tcPr>
            <w:tcW w:type="dxa" w:w="1404"/>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66534"/>
                <w:sz w:val="16"/>
                <w:szCs w:val="16"/>
              </w:rPr>
              <w:t xml:space="preserve">Required</w:t>
            </w:r>
          </w:p>
        </w:tc>
      </w:tr>
      <w:tr>
        <w:tc>
          <w:tcPr>
            <w:tcW w:type="dxa" w:w="280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A8070"/>
                <w:sz w:val="17"/>
                <w:szCs w:val="17"/>
              </w:rPr>
              <w:t xml:space="preserve">Reports.Read.All</w:t>
            </w:r>
          </w:p>
        </w:tc>
        <w:tc>
          <w:tcPr>
            <w:tcW w:type="dxa" w:w="514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7"/>
                <w:szCs w:val="17"/>
              </w:rPr>
              <w:t xml:space="preserve">SharePoint usage — site count, storage used, inactive sites</w:t>
            </w:r>
          </w:p>
        </w:tc>
        <w:tc>
          <w:tcPr>
            <w:tcW w:type="dxa" w:w="1404"/>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66534"/>
                <w:sz w:val="16"/>
                <w:szCs w:val="16"/>
              </w:rPr>
              <w:t xml:space="preserve">Required</w:t>
            </w:r>
          </w:p>
        </w:tc>
      </w:tr>
      <w:tr>
        <w:tc>
          <w:tcPr>
            <w:tcW w:type="dxa" w:w="280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A8070"/>
                <w:sz w:val="17"/>
                <w:szCs w:val="17"/>
              </w:rPr>
              <w:t xml:space="preserve">Organization.Read.All</w:t>
            </w:r>
          </w:p>
        </w:tc>
        <w:tc>
          <w:tcPr>
            <w:tcW w:type="dxa" w:w="514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7"/>
                <w:szCs w:val="17"/>
              </w:rPr>
              <w:t>Licence subscriptions — used vs available counts, and upcoming renewal dates</w:t>
            </w:r>
          </w:p>
        </w:tc>
        <w:tc>
          <w:tcPr>
            <w:tcW w:type="dxa" w:w="1404"/>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66534"/>
                <w:sz w:val="16"/>
                <w:szCs w:val="16"/>
              </w:rPr>
              <w:t xml:space="preserve">Required</w:t>
            </w:r>
          </w:p>
        </w:tc>
      </w:tr>
      <w:tr>
        <w:tc>
          <w:tcPr>
            <w:tcW w:type="dxa" w:w="280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A8070"/>
                <w:sz w:val="17"/>
                <w:szCs w:val="17"/>
              </w:rPr>
              <w:t xml:space="preserve">Group.Read.All</w:t>
            </w:r>
          </w:p>
        </w:tc>
        <w:tc>
          <w:tcPr>
            <w:tcW w:type="dxa" w:w="514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7"/>
                <w:szCs w:val="17"/>
              </w:rPr>
              <w:t>Security group count</w:t>
            </w:r>
          </w:p>
        </w:tc>
        <w:tc>
          <w:tcPr>
            <w:tcW w:type="dxa" w:w="1404"/>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66534"/>
                <w:sz w:val="16"/>
                <w:szCs w:val="16"/>
              </w:rPr>
              <w:t xml:space="preserve">Required</w:t>
            </w:r>
          </w:p>
        </w:tc>
      </w:tr>
    </w:tbl>
    <w:p>
      <w:pPr>
        <w:spacing w:after="200" w:before="0"/>
        <w:jc w:val="left"/>
      </w:pPr>
    </w:p>
    <w:p>
      <w:pPr>
        <w:spacing w:after="60" w:before="180"/>
      </w:pPr>
      <w:r>
        <w:rPr>
          <w:rFonts w:ascii="Calibri" w:cs="Calibri" w:eastAsia="Calibri" w:hAnsi="Calibri"/>
          <w:b/>
          <w:bCs/>
          <w:i w:val="false"/>
          <w:iCs w:val="false"/>
          <w:color w:val="0D7CC4"/>
          <w:sz w:val="19"/>
          <w:szCs w:val="19"/>
        </w:rPr>
        <w:t xml:space="preserve">Step 6 — </w:t>
      </w:r>
      <w:r>
        <w:rPr>
          <w:rFonts w:ascii="Calibri" w:cs="Calibri" w:eastAsia="Calibri" w:hAnsi="Calibri"/>
          <w:b/>
          <w:bCs/>
          <w:i w:val="false"/>
          <w:iCs w:val="false"/>
          <w:color w:val="1F2937"/>
          <w:sz w:val="19"/>
          <w:szCs w:val="19"/>
        </w:rPr>
        <w:t xml:space="preserve">Grant admin consent</w:t>
      </w:r>
    </w:p>
    <w:p>
      <w:pPr>
        <w:spacing w:after="120" w:before="0"/>
        <w:jc w:val="left"/>
      </w:pPr>
      <w:r>
        <w:rPr>
          <w:rFonts w:ascii="Calibri" w:cs="Calibri" w:eastAsia="Calibri" w:hAnsi="Calibri"/>
          <w:b w:val="false"/>
          <w:bCs w:val="false"/>
          <w:i w:val="false"/>
          <w:iCs w:val="false"/>
          <w:color w:val="6B7280"/>
          <w:sz w:val="19"/>
          <w:szCs w:val="19"/>
        </w:rPr>
        <w:t xml:space="preserve">Click the Grant admin consent for [Tenant Name] button, then confirm the dialog. All 12 permissions should show a green tick with status "Granted for [Tenant Name]".</w:t>
      </w:r>
    </w:p>
    <w:p>
      <w:pPr>
        <w:spacing w:after="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
        <w:gridCol w:w="9352"/>
      </w:tblGrid>
      <w:tr>
        <w:tc>
          <w:tcPr>
            <w:tcW w:type="dxa" w:w="8"/>
            <w:tcBorders>
              <w:top w:val="none" w:color="FFFFFF" w:sz="0"/>
              <w:left w:val="none" w:color="FFFFFF" w:sz="0"/>
              <w:bottom w:val="none" w:color="FFFFFF" w:sz="0"/>
              <w:right w:val="none" w:color="FFFFFF" w:sz="0"/>
            </w:tcBorders>
            <w:shd w:fill="C0152A" w:val="clear"/>
            <w:tcMar>
              <w:top w:type="dxa" w:w="0"/>
              <w:left w:type="dxa" w:w="0"/>
              <w:bottom w:type="dxa" w:w="0"/>
              <w:right w:type="dxa" w:w="0"/>
            </w:tcMar>
          </w:tcPr>
          <w:p>
            <w:pPr>
              <w:spacing w:after="0" w:before="0"/>
              <w:jc w:val="left"/>
            </w:pPr>
          </w:p>
        </w:tc>
        <w:tc>
          <w:tcPr>
            <w:tcW w:type="dxa" w:w="9352"/>
            <w:tcBorders>
              <w:top w:val="none" w:color="FFFFFF" w:sz="0"/>
              <w:left w:val="none" w:color="FFFFFF" w:sz="0"/>
              <w:bottom w:val="none" w:color="FFFFFF" w:sz="0"/>
              <w:right w:val="single" w:color="E5E7EB" w:sz="4"/>
            </w:tcBorders>
            <w:shd w:fill="F9FAFB" w:val="clear"/>
            <w:tcMar>
              <w:top w:type="dxa" w:w="80"/>
              <w:left w:type="dxa" w:w="160"/>
              <w:bottom w:type="dxa" w:w="80"/>
              <w:right w:type="dxa" w:w="120"/>
            </w:tcMar>
          </w:tcPr>
          <w:p>
            <w:pPr>
              <w:spacing w:after="0" w:before="0"/>
              <w:jc w:val="left"/>
            </w:pPr>
            <w:r>
              <w:rPr>
                <w:rFonts w:ascii="Calibri" w:cs="Calibri" w:eastAsia="Calibri" w:hAnsi="Calibri"/>
                <w:b w:val="false"/>
                <w:bCs w:val="false"/>
                <w:i w:val="false"/>
                <w:iCs w:val="false"/>
                <w:color w:val="1F2937"/>
                <w:sz w:val="18"/>
                <w:szCs w:val="18"/>
              </w:rPr>
              <w:t xml:space="preserve">If you do not see the "Grant admin consent" button, you do not have sufficient privileges. Ask a Global Administrator to complete this step.</w:t>
            </w:r>
          </w:p>
        </w:tc>
      </w:tr>
    </w:tbl>
    <w:p>
      <w:pPr>
        <w:spacing w:after="120" w:before="0"/>
        <w:jc w:val="left"/>
      </w:pPr>
    </w:p>
    <w:p>
      <w:pPr>
        <w:spacing w:after="60" w:before="180"/>
      </w:pPr>
      <w:r>
        <w:rPr>
          <w:rFonts w:ascii="Calibri" w:cs="Calibri" w:eastAsia="Calibri" w:hAnsi="Calibri"/>
          <w:b/>
          <w:bCs/>
          <w:i w:val="false"/>
          <w:iCs w:val="false"/>
          <w:color w:val="0D7CC4"/>
          <w:sz w:val="19"/>
          <w:szCs w:val="19"/>
        </w:rPr>
        <w:t xml:space="preserve">Step 7 — </w:t>
      </w:r>
      <w:r>
        <w:rPr>
          <w:rFonts w:ascii="Calibri" w:cs="Calibri" w:eastAsia="Calibri" w:hAnsi="Calibri"/>
          <w:b/>
          <w:bCs/>
          <w:i w:val="false"/>
          <w:iCs w:val="false"/>
          <w:color w:val="1F2937"/>
          <w:sz w:val="19"/>
          <w:szCs w:val="19"/>
        </w:rPr>
        <w:t xml:space="preserve">Test the connection</w:t>
      </w:r>
    </w:p>
    <w:p>
      <w:pPr>
        <w:spacing w:after="120" w:before="0"/>
        <w:jc w:val="left"/>
      </w:pPr>
      <w:r>
        <w:rPr>
          <w:rFonts w:ascii="Calibri" w:cs="Calibri" w:eastAsia="Calibri" w:hAnsi="Calibri"/>
          <w:b w:val="false"/>
          <w:bCs w:val="false"/>
          <w:i w:val="false"/>
          <w:iCs w:val="false"/>
          <w:color w:val="6B7280"/>
          <w:sz w:val="19"/>
          <w:szCs w:val="19"/>
        </w:rPr>
        <w:t xml:space="preserve">Open https://integricitymsp.netlify.app and enter the three values from Steps 3 and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E5E7EB" w:sz="4"/>
              <w:left w:val="single" w:color="E5E7EB" w:sz="4"/>
              <w:bottom w:val="single" w:color="E5E7EB" w:sz="4"/>
              <w:right w:val="single" w:color="E5E7EB" w:sz="4"/>
            </w:tcBorders>
            <w:shd w:fill="1F2937"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FFFFFF"/>
                <w:sz w:val="18"/>
                <w:szCs w:val="18"/>
              </w:rPr>
              <w:t xml:space="preserve">Field</w:t>
            </w:r>
          </w:p>
        </w:tc>
        <w:tc>
          <w:tcPr>
            <w:tcW w:type="dxa" w:w="6552"/>
            <w:tcBorders>
              <w:top w:val="single" w:color="E5E7EB" w:sz="4"/>
              <w:left w:val="single" w:color="E5E7EB" w:sz="4"/>
              <w:bottom w:val="single" w:color="E5E7EB" w:sz="4"/>
              <w:right w:val="single" w:color="E5E7EB" w:sz="4"/>
            </w:tcBorders>
            <w:shd w:fill="1F2937"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FFFFFF"/>
                <w:sz w:val="18"/>
                <w:szCs w:val="18"/>
              </w:rPr>
              <w:t xml:space="preserve">Where to find it</w:t>
            </w:r>
          </w:p>
        </w:tc>
      </w:tr>
      <w:tr>
        <w:tc>
          <w:tcPr>
            <w:tcW w:type="dxa" w:w="280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 xml:space="preserve">Tenant ID</w:t>
            </w:r>
          </w:p>
        </w:tc>
        <w:tc>
          <w:tcPr>
            <w:tcW w:type="dxa" w:w="6552"/>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 xml:space="preserve">App registration Overview page → Directory (tenant) ID</w:t>
            </w:r>
          </w:p>
        </w:tc>
      </w:tr>
      <w:tr>
        <w:tc>
          <w:tcPr>
            <w:tcW w:type="dxa" w:w="280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 xml:space="preserve">Client ID</w:t>
            </w:r>
          </w:p>
        </w:tc>
        <w:tc>
          <w:tcPr>
            <w:tcW w:type="dxa" w:w="6552"/>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 xml:space="preserve">App registration Overview page → Application (client) ID</w:t>
            </w:r>
          </w:p>
        </w:tc>
      </w:tr>
      <w:tr>
        <w:tc>
          <w:tcPr>
            <w:tcW w:type="dxa" w:w="280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 xml:space="preserve">Client Secret</w:t>
            </w:r>
          </w:p>
        </w:tc>
        <w:tc>
          <w:tcPr>
            <w:tcW w:type="dxa" w:w="6552"/>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 xml:space="preserve">Certificates &amp; secrets → Client secrets → Value (copied in Step 4)</w:t>
            </w:r>
          </w:p>
        </w:tc>
      </w:tr>
    </w:tbl>
    <w:p>
      <w:pPr>
        <w:spacing w:after="120" w:before="0"/>
        <w:jc w:val="left"/>
      </w:pPr>
    </w:p>
    <w:p>
      <w:pPr>
        <w:spacing w:after="120" w:before="0"/>
        <w:jc w:val="left"/>
      </w:pPr>
      <w:r>
        <w:rPr>
          <w:rFonts w:ascii="Calibri" w:cs="Calibri" w:eastAsia="Calibri" w:hAnsi="Calibri"/>
          <w:b w:val="false"/>
          <w:bCs w:val="false"/>
          <w:i w:val="false"/>
          <w:iCs w:val="false"/>
          <w:color w:val="6B7280"/>
          <w:sz w:val="19"/>
          <w:szCs w:val="19"/>
        </w:rPr>
        <w:t xml:space="preserve">Enter the client's display name, click Save &amp; continue, then click Pull data. If the setup is correct, KPI cards will populate within a few seconds across every section. If any section is blank, see the Troubleshooting table below.</w:t>
      </w:r>
    </w:p>
    <w:p>
      <w:pPr>
        <w:spacing w:after="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
        <w:gridCol w:w="9352"/>
      </w:tblGrid>
      <w:tr>
        <w:tc>
          <w:tcPr>
            <w:tcW w:type="dxa" w:w="8"/>
            <w:tcBorders>
              <w:top w:val="none" w:color="FFFFFF" w:sz="0"/>
              <w:left w:val="none" w:color="FFFFFF" w:sz="0"/>
              <w:bottom w:val="none" w:color="FFFFFF" w:sz="0"/>
              <w:right w:val="none" w:color="FFFFFF" w:sz="0"/>
            </w:tcBorders>
            <w:shd w:fill="0D7CC4" w:val="clear"/>
            <w:tcMar>
              <w:top w:type="dxa" w:w="0"/>
              <w:left w:type="dxa" w:w="0"/>
              <w:bottom w:type="dxa" w:w="0"/>
              <w:right w:type="dxa" w:w="0"/>
            </w:tcMar>
          </w:tcPr>
          <w:p>
            <w:pPr>
              <w:spacing w:after="0" w:before="0"/>
              <w:jc w:val="left"/>
            </w:pPr>
          </w:p>
        </w:tc>
        <w:tc>
          <w:tcPr>
            <w:tcW w:type="dxa" w:w="9352"/>
            <w:tcBorders>
              <w:top w:val="none" w:color="FFFFFF" w:sz="0"/>
              <w:left w:val="none" w:color="FFFFFF" w:sz="0"/>
              <w:bottom w:val="none" w:color="FFFFFF" w:sz="0"/>
              <w:right w:val="single" w:color="E5E7EB" w:sz="4"/>
            </w:tcBorders>
            <w:shd w:fill="F9FAFB" w:val="clear"/>
            <w:tcMar>
              <w:top w:type="dxa" w:w="80"/>
              <w:left w:type="dxa" w:w="160"/>
              <w:bottom w:type="dxa" w:w="80"/>
              <w:right w:type="dxa" w:w="120"/>
            </w:tcMar>
          </w:tcPr>
          <w:p>
            <w:pPr>
              <w:spacing w:after="0" w:before="0"/>
              <w:jc w:val="left"/>
            </w:pPr>
            <w:r>
              <w:rPr>
                <w:rFonts w:ascii="Calibri" w:cs="Calibri" w:eastAsia="Calibri" w:hAnsi="Calibri"/>
                <w:b w:val="false"/>
                <w:bCs w:val="false"/>
                <w:i w:val="false"/>
                <w:iCs w:val="false"/>
                <w:color w:val="1F2937"/>
                <w:sz w:val="18"/>
                <w:szCs w:val="18"/>
              </w:rPr>
              <w:t>Saved credentials are stored in the browser's local storage on the device you are using — not on Integricity's servers, and not synced between devices. If you set up a client on your laptop, those saved credentials will not appear if you open the report builder on a different computer or in a different browser. The client secret is saved there in plain text, so only save clients on a device you trust. To change a saved client (for example to paste in a renewed secret), click the pencil icon on its button; to remove one, click the bin icon.</w:t>
            </w:r>
          </w:p>
        </w:tc>
      </w:tr>
    </w:tbl>
    <w:p>
      <w:pPr>
        <w:spacing w:after="200" w:before="0"/>
        <w:jc w:val="left"/>
      </w:pPr>
    </w:p>
    <w:p>
      <w:pPr>
        <w:pStyle w:val="Heading1"/>
        <w:pBdr>
          <w:bottom w:val="single" w:color="1A8070" w:sz="8"/>
        </w:pBdr>
        <w:spacing w:after="120" w:before="360"/>
      </w:pPr>
      <w:r>
        <w:rPr>
          <w:rFonts w:ascii="Calibri" w:cs="Calibri" w:eastAsia="Calibri" w:hAnsi="Calibri"/>
          <w:b/>
          <w:bCs/>
          <w:i w:val="false"/>
          <w:iCs w:val="false"/>
          <w:color w:val="1A8070"/>
          <w:sz w:val="30"/>
          <w:szCs w:val="30"/>
        </w:rPr>
        <w:t xml:space="preserve">Security Notes</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 xml:space="preserve">Application permissions, not delegated: the app registration operates as a service identity — no user needs to be signed in when data is pulled.</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Credentials stay in your browser: the Tenant ID, Client ID, and Client Secret are sent to the report builder's server only to make each request to Microsoft Graph, and are never logged or stored on Integricity's servers. If you save a client, its details (including the secret, in plain text) are kept in that browser's local storage until you delete them with the bin icon — only save clients on a device you trust.</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Month-on-month history: to show what changed since last month, the report builder keeps a small set of summary figures per tenant (device counts, Secure Score and similar — no raw tenant data and no credentials) for up to 13 months, in Integricity's own Netlify storage. Ticking One-off report before pulling data skips this and deletes anything already saved for that tenant.</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 xml:space="preserve">All permissions are read-only: no write permissions are requested. The app cannot modify any data in the client tenant.</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 xml:space="preserve">Secret rotation: client secrets expire after the period chosen at creation. Set a recurring calendar reminder 2 weeks before expiry.</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 xml:space="preserve">Principle of least privilege: only the 12 permissions listed above are required. Do not grant additional permissions.</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 xml:space="preserve">Audit trail: every API call made by the app registration appears in the client's own Entra ID sign-in logs, attributed to the app name.</w:t>
      </w:r>
    </w:p>
    <w:p>
      <w:pPr>
        <w:spacing w:after="200" w:before="0"/>
        <w:jc w:val="left"/>
      </w:pPr>
    </w:p>
    <w:p>
      <w:pPr>
        <w:pStyle w:val="Heading1"/>
        <w:pBdr>
          <w:bottom w:val="single" w:color="0D7CC4" w:sz="8"/>
        </w:pBdr>
        <w:spacing w:after="120" w:before="360"/>
      </w:pPr>
      <w:r>
        <w:rPr>
          <w:rFonts w:ascii="Calibri" w:cs="Calibri" w:eastAsia="Calibri" w:hAnsi="Calibri"/>
          <w:b/>
          <w:bCs/>
          <w:i w:val="false"/>
          <w:iCs w:val="false"/>
          <w:color w:val="0D7CC4"/>
          <w:sz w:val="30"/>
          <w:szCs w:val="30"/>
        </w:rPr>
        <w:t xml:space="preserve">Troubleshooting</w:t>
      </w:r>
    </w:p>
    <w:p>
      <w:pPr>
        <w:pStyle w:val="Heading2"/>
        <w:spacing w:after="80" w:before="240"/>
      </w:pPr>
      <w:r>
        <w:rPr>
          <w:rFonts w:ascii="Calibri" w:cs="Calibri" w:eastAsia="Calibri" w:hAnsi="Calibri"/>
          <w:b/>
          <w:bCs/>
          <w:i w:val="false"/>
          <w:iCs w:val="false"/>
          <w:color w:val="1F2937"/>
          <w:sz w:val="24"/>
          <w:szCs w:val="24"/>
        </w:rPr>
        <w:t xml:space="preserve">Client Secret Renewal</w:t>
      </w:r>
    </w:p>
    <w:p>
      <w:pPr>
        <w:spacing w:after="120" w:before="0"/>
        <w:jc w:val="left"/>
      </w:pPr>
      <w:r>
        <w:rPr>
          <w:rFonts w:ascii="Calibri" w:cs="Calibri" w:eastAsia="Calibri" w:hAnsi="Calibri"/>
          <w:b w:val="false"/>
          <w:bCs w:val="false"/>
          <w:i w:val="false"/>
          <w:iCs w:val="false"/>
          <w:color w:val="1F2937"/>
          <w:sz w:val="19"/>
          <w:szCs w:val="19"/>
        </w:rPr>
        <w:t xml:space="preserve">Client secrets expire after the period chosen at creation (12 or 24 months). When a secret expires, the report builder will return an authentication error. To renew:</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 xml:space="preserve">1. Sign in to entra.microsoft.com for the client tenant</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 xml:space="preserve">2. Go to App registrations → Integricity MSP Report Builder → Certificates &amp; secrets</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 xml:space="preserve">3. Click New client secret, set description and expiry, click Add</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 xml:space="preserve">4. Copy the new Value immediately</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5. Update your secure record for this client's credentials, and click the pencil icon next to the client in the report builder to paste in the new secret</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 xml:space="preserve">6. Delete the old expired secret (optional but recommended)</w:t>
      </w:r>
    </w:p>
    <w:p>
      <w:pPr>
        <w:spacing w:after="12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E5E7EB" w:sz="4"/>
              <w:left w:val="single" w:color="E5E7EB" w:sz="4"/>
              <w:bottom w:val="single" w:color="E5E7EB" w:sz="4"/>
              <w:right w:val="single" w:color="E5E7EB" w:sz="4"/>
            </w:tcBorders>
            <w:shd w:fill="1F2937"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FFFFFF"/>
                <w:sz w:val="18"/>
                <w:szCs w:val="18"/>
              </w:rPr>
              <w:t xml:space="preserve">Symptom</w:t>
            </w:r>
          </w:p>
        </w:tc>
        <w:tc>
          <w:tcPr>
            <w:tcW w:type="dxa" w:w="6552"/>
            <w:tcBorders>
              <w:top w:val="single" w:color="E5E7EB" w:sz="4"/>
              <w:left w:val="single" w:color="E5E7EB" w:sz="4"/>
              <w:bottom w:val="single" w:color="E5E7EB" w:sz="4"/>
              <w:right w:val="single" w:color="E5E7EB" w:sz="4"/>
            </w:tcBorders>
            <w:shd w:fill="1F2937"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FFFFFF"/>
                <w:sz w:val="18"/>
                <w:szCs w:val="18"/>
              </w:rPr>
              <w:t xml:space="preserve">Fix</w:t>
            </w:r>
          </w:p>
        </w:tc>
      </w:tr>
      <w:tr>
        <w:tc>
          <w:tcPr>
            <w:tcW w:type="dxa" w:w="280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 xml:space="preserve">Authentication failed</w:t>
            </w:r>
          </w:p>
        </w:tc>
        <w:tc>
          <w:tcPr>
            <w:tcW w:type="dxa" w:w="6552"/>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 xml:space="preserve">Check the Tenant ID, Client ID, and Client Secret are correct. Ensure the secret has not expired. Try generating a new secret.</w:t>
            </w:r>
          </w:p>
        </w:tc>
      </w:tr>
      <w:tr>
        <w:tc>
          <w:tcPr>
            <w:tcW w:type="dxa" w:w="280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 xml:space="preserve">Secure Score not showing</w:t>
            </w:r>
          </w:p>
        </w:tc>
        <w:tc>
          <w:tcPr>
            <w:tcW w:type="dxa" w:w="6552"/>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 xml:space="preserve">Requires SecurityEvents.Read.All. Verify admin consent was granted for this permission.</w:t>
            </w:r>
          </w:p>
        </w:tc>
      </w:tr>
      <w:tr>
        <w:tc>
          <w:tcPr>
            <w:tcW w:type="dxa" w:w="280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 xml:space="preserve">Licence count shows no available total</w:t>
            </w:r>
          </w:p>
        </w:tc>
        <w:tc>
          <w:tcPr>
            <w:tcW w:type="dxa" w:w="6552"/>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 xml:space="preserve">Requires Organization.Read.All with admin consent. Without it, only the assigned count is shown (e.g. "73") with no available total or progress bar.</w:t>
            </w:r>
          </w:p>
        </w:tc>
      </w:tr>
      <w:tr>
        <w:tc>
          <w:tcPr>
            <w:tcW w:type="dxa" w:w="280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 xml:space="preserve">SharePoint data unavailable</w:t>
            </w:r>
          </w:p>
        </w:tc>
        <w:tc>
          <w:tcPr>
            <w:tcW w:type="dxa" w:w="6552"/>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 xml:space="preserve">Requires Reports.Read.All. Confirm admin consent is granted. Data can take up to 48 hours to populate in new tenants.</w:t>
            </w:r>
          </w:p>
        </w:tc>
      </w:tr>
      <w:tr>
        <w:tc>
          <w:tcPr>
            <w:tcW w:type="dxa" w:w="280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Risky users shows N/A (or risky users look too good to be true)</w:t>
            </w:r>
          </w:p>
        </w:tc>
        <w:tc>
          <w:tcPr>
            <w:tcW w:type="dxa" w:w="6552"/>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Requires IdentityRiskyUser.Read.All, and the tenant must have Microsoft Entra ID P2 or Microsoft 365 E5 licences. Without P2 Microsoft refuses the lookup and the report now shows N/A and a note instead of “0 risky users”.</w:t>
            </w:r>
          </w:p>
        </w:tc>
      </w:tr>
      <w:tr>
        <w:tc>
          <w:tcPr>
            <w:tcW w:type="dxa" w:w="280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 xml:space="preserve">Sign-in logs empty</w:t>
            </w:r>
          </w:p>
        </w:tc>
        <w:tc>
          <w:tcPr>
            <w:tcW w:type="dxa" w:w="6552"/>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Requires AuditLog.Read.All. Microsoft keeps sign-in logs for 30 days on Entra ID P1/P2 and only 7 days on free tenants, so a report period older than that comes back empty or partial. An empty list can also simply mean there were no unexpected overseas sign-ins in the period.</w:t>
            </w:r>
          </w:p>
        </w:tc>
      </w:tr>
      <w:tr>
        <w:tc>
          <w:tcPr>
            <w:tcW w:type="dxa" w:w="280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 xml:space="preserve">User data not showing</w:t>
            </w:r>
          </w:p>
        </w:tc>
        <w:tc>
          <w:tcPr>
            <w:tcW w:type="dxa" w:w="6552"/>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 xml:space="preserve">Requires User.Read.All with admin consent granted.</w:t>
            </w:r>
          </w:p>
        </w:tc>
      </w:tr>
      <w:tr>
        <w:tc>
          <w:tcPr>
            <w:tcW w:type="dxa" w:w="280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 xml:space="preserve">Shared mailbox count seems too low or high</w:t>
            </w:r>
          </w:p>
        </w:tc>
        <w:tc>
          <w:tcPr>
            <w:tcW w:type="dxa" w:w="6552"/>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 xml:space="preserve">Shared mailboxes are detected as enabled, non-guest, mail-enabled accounts with no licence assigned — this is an inferred count, not a Graph API mailbox type flag.</w:t>
            </w:r>
          </w:p>
        </w:tc>
      </w:tr>
      <w:tr>
        <w:tc>
          <w:tcPr>
            <w:tcW w:type="dxa" w:w="280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 xml:space="preserve">Admin roles not showing</w:t>
            </w:r>
          </w:p>
        </w:tc>
        <w:tc>
          <w:tcPr>
            <w:tcW w:type="dxa" w:w="6552"/>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 xml:space="preserve">Requires RoleManagement.Read.Directory with admin consent granted.</w:t>
            </w:r>
          </w:p>
        </w:tc>
      </w:tr>
      <w:tr>
        <w:tc>
          <w:tcPr>
            <w:tcW w:type="dxa" w:w="280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 xml:space="preserve">Licence names showing as GUIDs</w:t>
            </w:r>
          </w:p>
        </w:tc>
        <w:tc>
          <w:tcPr>
            <w:tcW w:type="dxa" w:w="6552"/>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Requires Organization.Read.All (for subscribedSkus). If still showing GUIDs after granting consent, regenerate the report.</w:t>
            </w:r>
          </w:p>
        </w:tc>
      </w:tr>
      <w:tr>
        <w:tc>
          <w:tcPr>
            <w:tcW w:type="dxa" w:w="280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Security groups shows N/A</w:t>
            </w:r>
          </w:p>
        </w:tc>
        <w:tc>
          <w:tcPr>
            <w:tcW w:type="dxa" w:w="6552"/>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Requires Group.Read.All with admin consent granted.</w:t>
            </w:r>
          </w:p>
        </w:tc>
      </w:tr>
      <w:tr>
        <w:tc>
          <w:tcPr>
            <w:tcW w:type="dxa" w:w="280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Upcoming licence renewals says data unavailable</w:t>
            </w:r>
          </w:p>
        </w:tc>
        <w:tc>
          <w:tcPr>
            <w:tcW w:type="dxa" w:w="6552"/>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Requires Organization.Read.All with admin consent (the same permission as the licence counts). If consent is granted, pull the data again — the lookup can time out.</w:t>
            </w:r>
          </w:p>
        </w:tc>
      </w:tr>
      <w:tr>
        <w:tc>
          <w:tcPr>
            <w:tcW w:type="dxa" w:w="280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SharePoint site total differs from the SharePoint admin center</w:t>
            </w:r>
          </w:p>
        </w:tc>
        <w:tc>
          <w:tcPr>
            <w:tcW w:type="dxa" w:w="6552"/>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Expected. The report uses Microsoft's usage report, which runs 24–48 hours behind and includes hidden Teams-channel and system sites that the Active sites list hides (OneDrive sites are excluded from both). The type breakdown in the report shows what makes up the difference.</w:t>
            </w:r>
          </w:p>
        </w:tc>
      </w:tr>
      <w:tr>
        <w:tc>
          <w:tcPr>
            <w:tcW w:type="dxa" w:w="280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 xml:space="preserve">Forbidden on all data</w:t>
            </w:r>
          </w:p>
        </w:tc>
        <w:tc>
          <w:tcPr>
            <w:tcW w:type="dxa" w:w="6552"/>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 xml:space="preserve">Admin consent has not been granted. Return to API permissions and click Grant admin consent for [Tenant Name].</w:t>
            </w:r>
          </w:p>
        </w:tc>
      </w:tr>
      <w:tr>
        <w:tc>
          <w:tcPr>
            <w:tcW w:type="dxa" w:w="280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 xml:space="preserve">Saved credentials missing on a different computer</w:t>
            </w:r>
          </w:p>
        </w:tc>
        <w:tc>
          <w:tcPr>
            <w:tcW w:type="dxa" w:w="6552"/>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 xml:space="preserve">Expected — saved credentials live in that browser's local storage on that device only. Re-enter the three values on the new device.</w:t>
            </w:r>
          </w:p>
        </w:tc>
      </w:tr>
      <w:tr>
        <w:tc>
          <w:tcPr>
            <w:tcW w:type="dxa" w:w="280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Need to change or remove a saved client</w:t>
            </w:r>
          </w:p>
        </w:tc>
        <w:tc>
          <w:tcPr>
            <w:tcW w:type="dxa" w:w="6552"/>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Click the pencil icon on its button to edit the name, IDs or secret, or the bin icon to delete it. In the same form, tick “Skip the overseas sign-in check for this client” to leave the overseas sign-in section out of that client’s reports.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2026-08-03T01:51:05.508Z</dcterms:created>
  <dcterms:modified xsi:type="dcterms:W3CDTF">2026-08-03T01:51:05.508Z</dcterms:modified>
</cp:coreProperties>
</file>

<file path=docProps/custom.xml><?xml version="1.0" encoding="utf-8"?>
<Properties xmlns="http://schemas.openxmlformats.org/officeDocument/2006/custom-properties" xmlns:vt="http://schemas.openxmlformats.org/officeDocument/2006/docPropsVTypes"/>
</file>