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6"/>
                <w:szCs w:val="26"/>
              </w:rPr>
              <w:t xml:space="preserve">Setup Guide — New Tenant Onboarding</w:t>
            </w:r>
          </w:p>
          <w:p>
            <w:pPr>
              <w:spacing w:after="0" w:before="0"/>
              <w:jc w:val="left"/>
            </w:pPr>
            <w:r>
              <w:rPr>
                <w:rFonts w:ascii="Calibri" w:cs="Calibri" w:eastAsia="Calibri" w:hAnsi="Calibri"/>
                <w:b w:val="false"/>
                <w:bCs w:val="false"/>
                <w:i w:val="false"/>
                <w:iCs w:val="false"/>
                <w:color w:val="7799BB"/>
                <w:sz w:val="18"/>
                <w:szCs w:val="18"/>
              </w:rPr>
              <w:t xml:space="preserve">July 2026 · v6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Overview</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pulls live data from Microsoft Graph API on behalf of each client tenant. To do this securely, an App Registration must be created in each client's Microsoft Entra ID tenant, granting 12 read-only Graph API permissions. This guide walks through that setup step by step for a brand new tenant.</w:t>
      </w:r>
    </w:p>
    <w:p>
      <w:pPr>
        <w:spacing w:after="120" w:before="0"/>
        <w:jc w:val="left"/>
      </w:pPr>
      <w:r>
        <w:rPr>
          <w:rFonts w:ascii="Calibri" w:cs="Calibri" w:eastAsia="Calibri" w:hAnsi="Calibri"/>
          <w:b w:val="false"/>
          <w:bCs w:val="false"/>
          <w:i w:val="false"/>
          <w:iCs w:val="false"/>
          <w:color w:val="1F2937"/>
          <w:sz w:val="19"/>
          <w:szCs w:val="19"/>
        </w:rPr>
        <w:t xml:space="preserve">Once configured, the client's Tenant ID, Client ID, and Client Secret are entered into the report builder at https://integricitymspreport.netlify.app. This is a one-off setup per client — once complete, generating a report each month takes only a few minutes.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Estimated time: 10-15 minutes per tenant. Requires Global Administrator access to the client's Microsoft 365 tenant for at least the admin consent step.</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Prerequisites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Access level: Global Administrator or Privileged Role Administrator in the client's tenant. Admin consent (Step 6) specifically requires Global Administrator.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Microsoft 365 licences: the client must have Microsoft 365 Business Premium, E3, or E5 (or Intune standalone)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Intune: Microsoft Intune must be active with enrolled devices present in the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Browser: any modern browser with access to entra.microsoft.com</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Step-by-Step Setup</w:t>
      </w:r>
    </w:p>
    <w:p>
      <w:pPr>
        <w:spacing w:after="60" w:before="18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Sign in to Microsoft Entra admin centre</w:t>
      </w:r>
    </w:p>
    <w:p>
      <w:pPr>
        <w:spacing w:after="120" w:before="0"/>
        <w:jc w:val="left"/>
      </w:pPr>
      <w:r>
        <w:rPr>
          <w:rFonts w:ascii="Calibri" w:cs="Calibri" w:eastAsia="Calibri" w:hAnsi="Calibri"/>
          <w:b w:val="false"/>
          <w:bCs w:val="false"/>
          <w:i w:val="false"/>
          <w:iCs w:val="false"/>
          <w:color w:val="6B7280"/>
          <w:sz w:val="19"/>
          <w:szCs w:val="19"/>
        </w:rPr>
        <w:t xml:space="preserve">Navigate to entra.microsoft.com and sign in with a Global Administrator account for the client tenant.</w:t>
      </w:r>
    </w:p>
    <w:p>
      <w:pPr>
        <w:spacing w:after="60" w:before="18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Create a new App Registration</w:t>
      </w:r>
    </w:p>
    <w:p>
      <w:pPr>
        <w:spacing w:after="120" w:before="0"/>
        <w:jc w:val="left"/>
      </w:pPr>
      <w:r>
        <w:rPr>
          <w:rFonts w:ascii="Calibri" w:cs="Calibri" w:eastAsia="Calibri" w:hAnsi="Calibri"/>
          <w:b w:val="false"/>
          <w:bCs w:val="false"/>
          <w:i w:val="false"/>
          <w:iCs w:val="false"/>
          <w:color w:val="6B7280"/>
          <w:sz w:val="19"/>
          <w:szCs w:val="19"/>
        </w:rPr>
        <w:t xml:space="preserve">Go to Applications → App registrations → New registration, and fill in the form:</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Name: Integricity MSP Report Builder (or any recognisable name)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Supported account types: Accounts in this organisational directory only (Single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Redirect URI: leave blank — not required for the client credentials flow</w:t>
      </w:r>
    </w:p>
    <w:p>
      <w:pPr>
        <w:spacing w:after="120" w:before="0"/>
        <w:jc w:val="left"/>
      </w:pPr>
      <w:r>
        <w:rPr>
          <w:rFonts w:ascii="Calibri" w:cs="Calibri" w:eastAsia="Calibri" w:hAnsi="Calibri"/>
          <w:b w:val="false"/>
          <w:bCs w:val="false"/>
          <w:i w:val="false"/>
          <w:iCs w:val="false"/>
          <w:color w:val="6B7280"/>
          <w:sz w:val="19"/>
          <w:szCs w:val="19"/>
        </w:rPr>
        <w:t xml:space="preserve">Click Register.</w:t>
      </w:r>
    </w:p>
    <w:p>
      <w:pPr>
        <w:spacing w:after="60" w:before="18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Note your Tenant ID and Client ID</w:t>
      </w:r>
    </w:p>
    <w:p>
      <w:pPr>
        <w:spacing w:after="120" w:before="0"/>
        <w:jc w:val="left"/>
      </w:pPr>
      <w:r>
        <w:rPr>
          <w:rFonts w:ascii="Calibri" w:cs="Calibri" w:eastAsia="Calibri" w:hAnsi="Calibri"/>
          <w:b w:val="false"/>
          <w:bCs w:val="false"/>
          <w:i w:val="false"/>
          <w:iCs w:val="false"/>
          <w:color w:val="6B7280"/>
          <w:sz w:val="19"/>
          <w:szCs w:val="19"/>
        </w:rPr>
        <w:t xml:space="preserve">After registering, you land on the app's Overview page. Note down: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(client) ID — this is the 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Directory (tenant) ID — this is the Tenant ID</w:t>
      </w:r>
    </w:p>
    <w:p>
      <w:pPr>
        <w:spacing w:after="60" w:before="18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Create a Client Secret</w:t>
      </w:r>
    </w:p>
    <w:p>
      <w:pPr>
        <w:spacing w:after="120" w:before="0"/>
        <w:jc w:val="left"/>
      </w:pPr>
      <w:r>
        <w:rPr>
          <w:rFonts w:ascii="Calibri" w:cs="Calibri" w:eastAsia="Calibri" w:hAnsi="Calibri"/>
          <w:b w:val="false"/>
          <w:bCs w:val="false"/>
          <w:i w:val="false"/>
          <w:iCs w:val="false"/>
          <w:color w:val="6B7280"/>
          <w:sz w:val="19"/>
          <w:szCs w:val="19"/>
        </w:rPr>
        <w:t xml:space="preserve">Go to Certificates &amp; secrets → Client secrets → New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Description: Integricity MSP Report Builder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Expires: choose 12 or 24 months (set a calendar reminder to renew before expiry)</w:t>
      </w:r>
    </w:p>
    <w:p>
      <w:pPr>
        <w:spacing w:after="120" w:before="0"/>
        <w:jc w:val="left"/>
      </w:pPr>
      <w:r>
        <w:rPr>
          <w:rFonts w:ascii="Calibri" w:cs="Calibri" w:eastAsia="Calibri" w:hAnsi="Calibri"/>
          <w:b w:val="false"/>
          <w:bCs w:val="false"/>
          <w:i w:val="false"/>
          <w:iCs w:val="false"/>
          <w:color w:val="6B7280"/>
          <w:sz w:val="19"/>
          <w:szCs w:val="19"/>
        </w:rPr>
        <w:t xml:space="preserve">Click Add.</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Copy the secret Value immediately after creation. It will not be shown again. The Secret ID is not what you need — copy the Value column.</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Add API permissions</w:t>
      </w:r>
    </w:p>
    <w:p>
      <w:pPr>
        <w:spacing w:after="120" w:before="0"/>
        <w:jc w:val="left"/>
      </w:pPr>
      <w:r>
        <w:rPr>
          <w:rFonts w:ascii="Calibri" w:cs="Calibri" w:eastAsia="Calibri" w:hAnsi="Calibri"/>
          <w:b w:val="false"/>
          <w:bCs w:val="false"/>
          <w:i w:val="false"/>
          <w:iCs w:val="false"/>
          <w:color w:val="6B7280"/>
          <w:sz w:val="19"/>
          <w:szCs w:val="19"/>
        </w:rPr>
        <w:t xml:space="preserve">Go to API permissions → Add a permission → Microsoft Graph → Application permissions, and search for and add each of the following:</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5148"/>
        <w:gridCol w:w="1404"/>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Permission</w:t>
            </w:r>
          </w:p>
        </w:tc>
        <w:tc>
          <w:tcPr>
            <w:tcW w:type="dxa" w:w="514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Used for</w:t>
            </w:r>
          </w:p>
        </w:tc>
        <w:tc>
          <w:tcPr>
            <w:tcW w:type="dxa" w:w="1404"/>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Status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DeviceManagementManagedDevices.Read.All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Device inventory, compliance, patch status, encryption, disk space, device types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DeviceManagementConfiguration.Read.All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Compliance policies and configuration profiles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DeviceManagementApps.Read.All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App protection (MAM) policies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Policy.Read.All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Conditional Access policies, security defaults, authentication methods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SecurityEvents.Read.All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Microsoft Secure Score</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IdentityRiskyUser.Read.All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Entra ID Protection — risky user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AuditLog.Read.All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last sign-in dates, sign-ins from outside AU/NZ/MY</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list, guest count, licence assignments, shared mailboxes, inactive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RoleManagement.Read.Directory</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Admin role holders and their role names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Reports.Read.All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SharePoint usage — site count, storage used, inactive sites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Organization.Read.All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Licence subscriptions — used vs available counts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Group.Read.All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Microsoft 365 Group and Security Group 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bl>
    <w:p>
      <w:pPr>
        <w:spacing w:after="200" w:before="0"/>
        <w:jc w:val="left"/>
      </w:pPr>
    </w:p>
    <w:p>
      <w:pPr>
        <w:spacing w:after="60" w:before="18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Grant admin consent</w:t>
      </w:r>
    </w:p>
    <w:p>
      <w:pPr>
        <w:spacing w:after="120" w:before="0"/>
        <w:jc w:val="left"/>
      </w:pPr>
      <w:r>
        <w:rPr>
          <w:rFonts w:ascii="Calibri" w:cs="Calibri" w:eastAsia="Calibri" w:hAnsi="Calibri"/>
          <w:b w:val="false"/>
          <w:bCs w:val="false"/>
          <w:i w:val="false"/>
          <w:iCs w:val="false"/>
          <w:color w:val="6B7280"/>
          <w:sz w:val="19"/>
          <w:szCs w:val="19"/>
        </w:rPr>
        <w:t xml:space="preserve">Click the Grant admin consent for [Tenant Name] button, then confirm the dialog. All 12 permissions should show a green tick with status "Granted for [Tenant Name]".</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If you do not see the "Grant admin consent" button, you do not have sufficient privileges. Ask a Global Administrator to complete this step.</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7 — </w:t>
      </w:r>
      <w:r>
        <w:rPr>
          <w:rFonts w:ascii="Calibri" w:cs="Calibri" w:eastAsia="Calibri" w:hAnsi="Calibri"/>
          <w:b/>
          <w:bCs/>
          <w:i w:val="false"/>
          <w:iCs w:val="false"/>
          <w:color w:val="1F2937"/>
          <w:sz w:val="19"/>
          <w:szCs w:val="19"/>
        </w:rPr>
        <w:t xml:space="preserve">Test the connection</w:t>
      </w:r>
    </w:p>
    <w:p>
      <w:pPr>
        <w:spacing w:after="120" w:before="0"/>
        <w:jc w:val="left"/>
      </w:pPr>
      <w:r>
        <w:rPr>
          <w:rFonts w:ascii="Calibri" w:cs="Calibri" w:eastAsia="Calibri" w:hAnsi="Calibri"/>
          <w:b w:val="false"/>
          <w:bCs w:val="false"/>
          <w:i w:val="false"/>
          <w:iCs w:val="false"/>
          <w:color w:val="6B7280"/>
          <w:sz w:val="19"/>
          <w:szCs w:val="19"/>
        </w:rPr>
        <w:t xml:space="preserve">Open https://integricitymspreport.netlify.app and enter the three values from Steps 3 and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Field</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Where to find it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Tenant ID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Directory (tenant) ID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ID</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Application (client) ID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Secret</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Certificates &amp; secrets → Client secrets → Value (copied in Step 4)</w:t>
            </w:r>
          </w:p>
        </w:tc>
      </w:tr>
    </w:tbl>
    <w:p>
      <w:pPr>
        <w:spacing w:after="120" w:before="0"/>
        <w:jc w:val="left"/>
      </w:pPr>
    </w:p>
    <w:p>
      <w:pPr>
        <w:spacing w:after="120" w:before="0"/>
        <w:jc w:val="left"/>
      </w:pPr>
      <w:r>
        <w:rPr>
          <w:rFonts w:ascii="Calibri" w:cs="Calibri" w:eastAsia="Calibri" w:hAnsi="Calibri"/>
          <w:b w:val="false"/>
          <w:bCs w:val="false"/>
          <w:i w:val="false"/>
          <w:iCs w:val="false"/>
          <w:color w:val="6B7280"/>
          <w:sz w:val="19"/>
          <w:szCs w:val="19"/>
        </w:rPr>
        <w:t xml:space="preserve">Enter the client's display name, click Save &amp; continue, then click Pull data. If the setup is correct, KPI cards will populate within a few seconds across every section. If any section is blank, see the Troubleshooting table below.</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Saved credentials are stored in the browser's local storage on the device you are using — not on Integricity's servers, and not synced between devices. If you set up a client on your laptop, those saved credentials will not appear if you open the report builder on a different computer or in a different browser.</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Security Notes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permissions, not delegated: the app registration operates as a service identity — no user needs to be signed in when data is pulled.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Credentials are session-only: Tenant ID, Client ID, and Client Secret are held in browser memory (and optionally browser local storage, per the note above) — never sent to or stored on Integricity's servers.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All permissions are read-only: no write permissions are requested. The app cannot modify any data in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Secret rotation: client secrets expire after the period chosen at creation. Set a recurring calendar reminder 2 weeks before expiry.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Principle of least privilege: only the 12 permissions listed above are required. Do not grant additional permissions.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Audit trail: every API call made by the app registration appears in the client's own Entra ID sign-in logs, attributed to the app name.</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Troubleshooting</w:t>
      </w:r>
    </w:p>
    <w:p>
      <w:pPr>
        <w:pStyle w:val="Heading2"/>
        <w:spacing w:after="80" w:before="240"/>
      </w:pPr>
      <w:r>
        <w:rPr>
          <w:rFonts w:ascii="Calibri" w:cs="Calibri" w:eastAsia="Calibri" w:hAnsi="Calibri"/>
          <w:b/>
          <w:bCs/>
          <w:i w:val="false"/>
          <w:iCs w:val="false"/>
          <w:color w:val="1F2937"/>
          <w:sz w:val="24"/>
          <w:szCs w:val="24"/>
        </w:rPr>
        <w:t xml:space="preserve">Client Secret Renewal</w:t>
      </w:r>
    </w:p>
    <w:p>
      <w:pPr>
        <w:spacing w:after="120" w:before="0"/>
        <w:jc w:val="left"/>
      </w:pPr>
      <w:r>
        <w:rPr>
          <w:rFonts w:ascii="Calibri" w:cs="Calibri" w:eastAsia="Calibri" w:hAnsi="Calibri"/>
          <w:b w:val="false"/>
          <w:bCs w:val="false"/>
          <w:i w:val="false"/>
          <w:iCs w:val="false"/>
          <w:color w:val="1F2937"/>
          <w:sz w:val="19"/>
          <w:szCs w:val="19"/>
        </w:rPr>
        <w:t xml:space="preserve">Client secrets expire after the period chosen at creation (12 or 24 months). When a secret expires, the report builder will return an authentication error. To renew: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Sign in to entra.microsoft.com for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Go to App registrations → Integricity MSP Report Builder → Certificates &amp; secrets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Click New client secret, set description and expiry, click Add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4. Copy the new Value immediately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5. Update your secure record for this client's credentials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Delete the old expired secret (optional but recommended)</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Fix</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Ensure the secret has not expired. Try generating a new secret.</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Secure Score not showing</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SecurityEvents.Read.All. Verify admin consent was granted for this permission.</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count shows no available total</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Organization.Read.All with admin consent. Without it, only the assigned count is shown (e.g. "73") with no available total or progress bar.</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SharePoint data unavailable</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Reports.Read.All. Confirm admin consent is granted. Data can take up to 48 hours to populate in new tenants.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Risky users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IdentityRiskyUser.Read.All, and the tenant must have Microsoft Entra ID P2 or Microsoft 365 E5 licences.</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logs empty</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AuditLog.Read.All. Logs are retained 30 days on most tiers (90 days with Entra ID P2). No overseas sign-ins in the period also results in an empty list.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User data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User.Read.All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Shared mailbox count seems too low or high</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Shared mailboxes are detected as enabled, non-guest, mail-enabled accounts with no licence assigned — this is an inferred count, not a Graph API mailbox type flag.</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Admin roles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RoleManagement.Read.Directory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showing as GUIDs</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User.Read.All (for subscribedSkus). If still showing GUIDs after granting consent, regenerate the report.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M365 Group / Security Group counts missing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Group.Read.All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Forbidden on all data</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Admin consent has not been granted. Return to API permissions and click Grant admin consent for [Tenant Name].</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Saved credentials missing on a different computer</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Expected — saved credentials live in that browser's local storage on that device only. Re-enter the three values on the new device.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2026-08-03T01:51:05.508Z</dcterms:created>
  <dcterms:modified xsi:type="dcterms:W3CDTF">2026-08-03T01:51:05.508Z</dcterms:modified>
</cp:coreProperties>
</file>

<file path=docProps/custom.xml><?xml version="1.0" encoding="utf-8"?>
<Properties xmlns="http://schemas.openxmlformats.org/officeDocument/2006/custom-properties" xmlns:vt="http://schemas.openxmlformats.org/officeDocument/2006/docPropsVTypes"/>
</file>