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76EA3ACF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5.14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>.0</w:t>
                            </w:r>
                          </w:p>
                          <w:p w14:paraId="6A0C2961" w14:textId="13639E3D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November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76EA3ACF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5.14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3639E3D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November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 xml:space="preserve">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lastRenderedPageBreak/>
        <w:t>INTRODUCTION</w:t>
      </w:r>
      <w:bookmarkEnd w:id="0"/>
    </w:p>
    <w:p w14:paraId="3196C61D" w14:textId="77777777" w:rsidR="00B33218" w:rsidRDefault="00B33218" w:rsidP="00B33218">
      <w:pPr>
        <w:spacing w:after="120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>Direct Messaging is a method for secure transmiss</w:t>
      </w:r>
      <w:r>
        <w:rPr>
          <w:rFonts w:ascii="Calibri" w:eastAsia="Times New Roman" w:hAnsi="Calibri" w:cs="Times New Roman"/>
        </w:rPr>
        <w:t>ion of protected health information (PHI) over the Internet. Direct messaging: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6069E9D" w14:textId="76FFD422" w:rsidR="00511CC9" w:rsidRDefault="00511CC9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provides an integrated directory to easily find users in the same network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Specifics about using the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5F7C8127" w14:textId="77777777" w:rsidR="006B4E13" w:rsidRDefault="00B33218" w:rsidP="006B4E13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</w:t>
      </w:r>
      <w:proofErr w:type="gramStart"/>
      <w:r w:rsidR="00B87882">
        <w:rPr>
          <w:rFonts w:ascii="Calibri" w:eastAsia="Times New Roman" w:hAnsi="Calibri" w:cs="Times New Roman"/>
        </w:rPr>
        <w:t>Direct</w:t>
      </w:r>
      <w:proofErr w:type="gramEnd"/>
      <w:r w:rsidR="00B87882">
        <w:rPr>
          <w:rFonts w:ascii="Calibri" w:eastAsia="Times New Roman" w:hAnsi="Calibri" w:cs="Times New Roman"/>
        </w:rPr>
        <w:t xml:space="preserve">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46739081" w:rsidR="00E55DBE" w:rsidRDefault="00E55DBE" w:rsidP="006B4E13">
      <w:pPr>
        <w:pStyle w:val="Heading1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F7A1A28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proofErr w:type="gramStart"/>
      <w:r w:rsidR="00003A3A">
        <w:t>D</w:t>
      </w:r>
      <w:r>
        <w:t>irect</w:t>
      </w:r>
      <w:proofErr w:type="gramEnd"/>
      <w:r>
        <w:t xml:space="preserve"> domains.</w:t>
      </w:r>
    </w:p>
    <w:p w14:paraId="33F64ED1" w14:textId="77777777" w:rsidR="00E55DBE" w:rsidRDefault="00E55DBE" w:rsidP="00E55DBE"/>
    <w:p w14:paraId="7C44905F" w14:textId="1CDC4EA9" w:rsidR="00003A3A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  <w:r w:rsidR="00511CC9">
        <w:t xml:space="preserve"> Multiple dashboards can be seen by scrolling down.</w:t>
      </w:r>
    </w:p>
    <w:p w14:paraId="1D87AC56" w14:textId="77777777" w:rsidR="00003A3A" w:rsidRDefault="00003A3A" w:rsidP="00E55DBE"/>
    <w:p w14:paraId="75AC2EF9" w14:textId="02546FC6" w:rsidR="0029292D" w:rsidRDefault="00511CC9" w:rsidP="00511CC9">
      <w:pPr>
        <w:jc w:val="center"/>
      </w:pPr>
      <w:r>
        <w:rPr>
          <w:noProof/>
        </w:rPr>
        <w:drawing>
          <wp:inline distT="0" distB="0" distL="0" distR="0" wp14:anchorId="2CB4A947" wp14:editId="2C2AD5AF">
            <wp:extent cx="5471160" cy="2414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497" cy="2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DE4" w14:textId="77777777" w:rsidR="0029292D" w:rsidRDefault="0029292D" w:rsidP="00E55DBE"/>
    <w:p w14:paraId="154B14E8" w14:textId="0CD68800" w:rsidR="004F4D67" w:rsidRDefault="004F4D67" w:rsidP="006B4E13">
      <w:pPr>
        <w:pStyle w:val="Heading2"/>
      </w:pPr>
      <w:r>
        <w:t>Domain Dashboards</w:t>
      </w:r>
    </w:p>
    <w:p w14:paraId="0B797762" w14:textId="3FD11A3D" w:rsidR="00003A3A" w:rsidRDefault="00003A3A" w:rsidP="00E55DBE">
      <w:r>
        <w:t xml:space="preserve">General information about a </w:t>
      </w:r>
      <w:proofErr w:type="gramStart"/>
      <w:r>
        <w:t>Direct</w:t>
      </w:r>
      <w:proofErr w:type="gramEnd"/>
      <w:r>
        <w:t xml:space="preserve"> domain is </w:t>
      </w:r>
      <w:r w:rsidR="00511CC9">
        <w:t xml:space="preserve">available </w:t>
      </w:r>
      <w:r>
        <w:t>at the left of each domain dashboard.</w:t>
      </w:r>
    </w:p>
    <w:p w14:paraId="1CE4A22E" w14:textId="1D5B8AE4" w:rsidR="00003A3A" w:rsidRDefault="00511CC9" w:rsidP="00511CC9">
      <w:pPr>
        <w:jc w:val="center"/>
      </w:pPr>
      <w:r>
        <w:rPr>
          <w:noProof/>
        </w:rPr>
        <w:lastRenderedPageBreak/>
        <w:drawing>
          <wp:inline distT="0" distB="0" distL="0" distR="0" wp14:anchorId="5BEC03E6" wp14:editId="5E629D8B">
            <wp:extent cx="2079808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A18" w14:textId="4B2F0660" w:rsidR="00003A3A" w:rsidRDefault="00003A3A" w:rsidP="00E55DBE"/>
    <w:p w14:paraId="4BEA1C20" w14:textId="77777777" w:rsidR="006B4E13" w:rsidRDefault="00FF46F4" w:rsidP="00E55DBE">
      <w:r>
        <w:t>This part of the dashboard shows basic informat</w:t>
      </w:r>
      <w:r w:rsidR="006B4E13">
        <w:t xml:space="preserve">ion about the domain, including: </w:t>
      </w:r>
    </w:p>
    <w:p w14:paraId="1EF435A7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domain the certificate was issued to, the Certificate Authority which signed the certificate</w:t>
      </w:r>
    </w:p>
    <w:p w14:paraId="19BAFFDE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dates of validity</w:t>
      </w:r>
    </w:p>
    <w:p w14:paraId="35F6A3F7" w14:textId="77777777" w:rsidR="006B4E13" w:rsidRPr="004F4D67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thumbprint—a string of characters generated from the certificate that is unique to that certificate</w:t>
      </w:r>
    </w:p>
    <w:p w14:paraId="1F208893" w14:textId="77777777" w:rsidR="006B4E13" w:rsidRDefault="006B4E13" w:rsidP="00E55DBE"/>
    <w:p w14:paraId="758A9044" w14:textId="20879CED" w:rsidR="00003A3A" w:rsidRDefault="006B4E13" w:rsidP="00E55DBE">
      <w:r>
        <w:t xml:space="preserve">Information about the </w:t>
      </w:r>
      <w:r w:rsidR="0021469D">
        <w:t>endpoint type</w:t>
      </w:r>
      <w:r>
        <w:t xml:space="preserve"> is listed in the section below</w:t>
      </w:r>
      <w:r w:rsidR="0021469D">
        <w:t xml:space="preserve">. </w:t>
      </w:r>
      <w:r>
        <w:t xml:space="preserve">At the bottom of the general info panel, there </w:t>
      </w:r>
      <w:r w:rsidR="0021469D">
        <w:t xml:space="preserve">buttons which allow the domain’s certificate to be updated, or to delete the domain entirely. </w:t>
      </w:r>
    </w:p>
    <w:p w14:paraId="02074FA5" w14:textId="77777777" w:rsidR="006B4E13" w:rsidRDefault="006B4E13" w:rsidP="00E55DBE"/>
    <w:p w14:paraId="122B7373" w14:textId="356FB6C9" w:rsidR="00FF3FB4" w:rsidRDefault="00FF3FB4" w:rsidP="00E55DBE">
      <w:r>
        <w:t xml:space="preserve">To the right of </w:t>
      </w:r>
      <w:r w:rsidR="006B4E13">
        <w:t>the domain’s general info panel</w:t>
      </w:r>
      <w:r>
        <w:t xml:space="preserve">, there are </w:t>
      </w:r>
      <w:r w:rsidR="0021469D">
        <w:t>five</w:t>
      </w:r>
      <w:r>
        <w:t xml:space="preserve"> tabs which contain more detailed information about the domain. Each tab can be selected by</w:t>
      </w:r>
      <w:r w:rsidR="00AF6018">
        <w:t xml:space="preserve"> clicking it or</w:t>
      </w:r>
      <w:r>
        <w:t xml:space="preserve"> hovering the mouse over it.</w:t>
      </w:r>
    </w:p>
    <w:p w14:paraId="0F37A1F7" w14:textId="77777777" w:rsidR="00FF3FB4" w:rsidRDefault="00FF3FB4" w:rsidP="00E55DBE"/>
    <w:p w14:paraId="33D3F0E2" w14:textId="2321CDD0" w:rsidR="0021469D" w:rsidRDefault="0021469D" w:rsidP="0021469D">
      <w:pPr>
        <w:jc w:val="center"/>
      </w:pPr>
      <w:r>
        <w:rPr>
          <w:noProof/>
        </w:rPr>
        <w:drawing>
          <wp:inline distT="0" distB="0" distL="0" distR="0" wp14:anchorId="62E16B11" wp14:editId="0870D556">
            <wp:extent cx="5524500" cy="24553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322" cy="24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E072" w14:textId="77777777" w:rsidR="0021469D" w:rsidRDefault="0021469D" w:rsidP="00E55DBE"/>
    <w:p w14:paraId="159908FF" w14:textId="45C2985E" w:rsidR="00FF3FB4" w:rsidRDefault="00FF3FB4" w:rsidP="00E55DBE">
      <w:r>
        <w:t>The available tabs include:</w:t>
      </w:r>
    </w:p>
    <w:p w14:paraId="4B2F91D1" w14:textId="0CFF7893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Status</w:t>
      </w:r>
      <w:r w:rsidR="006878A0">
        <w:rPr>
          <w:b/>
        </w:rPr>
        <w:t>:</w:t>
      </w:r>
      <w:r>
        <w:t xml:space="preserve"> shows information about the status of various domain connections</w:t>
      </w:r>
      <w:r w:rsidR="006878A0">
        <w:t>.</w:t>
      </w:r>
    </w:p>
    <w:p w14:paraId="7A915514" w14:textId="51D506B6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</w:t>
      </w:r>
      <w:r w:rsidR="00FF3FB4" w:rsidRPr="00FF3FB4">
        <w:rPr>
          <w:b/>
        </w:rPr>
        <w:t>s</w:t>
      </w:r>
      <w:r w:rsidR="006878A0">
        <w:rPr>
          <w:b/>
        </w:rPr>
        <w:t xml:space="preserve">: </w:t>
      </w:r>
      <w:r>
        <w:t>allows management of user groups associated with the domain</w:t>
      </w:r>
      <w:r w:rsidR="006878A0">
        <w:t>.</w:t>
      </w:r>
    </w:p>
    <w:p w14:paraId="58A74062" w14:textId="4932479C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lastRenderedPageBreak/>
        <w:t>Anchors</w:t>
      </w:r>
      <w:r w:rsidR="006878A0">
        <w:rPr>
          <w:b/>
        </w:rPr>
        <w:t xml:space="preserve">: </w:t>
      </w:r>
      <w:r w:rsidR="002B644A">
        <w:t xml:space="preserve">allows management of </w:t>
      </w:r>
      <w:r w:rsidR="006878A0">
        <w:t xml:space="preserve">the Certificate Authority enforcing the domain’s </w:t>
      </w:r>
      <w:r w:rsidR="000B66A6">
        <w:t xml:space="preserve">digital </w:t>
      </w:r>
      <w:r w:rsidR="006878A0">
        <w:t>certificate</w:t>
      </w:r>
      <w:r w:rsidR="00A05C3A">
        <w:t>.</w:t>
      </w:r>
    </w:p>
    <w:p w14:paraId="63ABFBB1" w14:textId="072B6239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2B644A">
        <w:t xml:space="preserve">allows management </w:t>
      </w:r>
      <w:r w:rsidR="007C7FE6">
        <w:t xml:space="preserve">on any trust bundles (groups of </w:t>
      </w:r>
      <w:r w:rsidR="00A05C3A">
        <w:t>trust anchor certificates) used by the domain.</w:t>
      </w:r>
    </w:p>
    <w:p w14:paraId="48B4767B" w14:textId="32366B83" w:rsidR="00FF3FB4" w:rsidRPr="00FF3FB4" w:rsidRDefault="002B644A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Contacts</w:t>
      </w:r>
      <w:r w:rsidR="006878A0">
        <w:rPr>
          <w:b/>
        </w:rPr>
        <w:t xml:space="preserve">: </w:t>
      </w:r>
      <w:r w:rsidR="000B66A6">
        <w:t>Displays which Direct addresses are associated with the domain.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24B697F7" w14:textId="79740FEB" w:rsidR="00003A3A" w:rsidRDefault="006B4E13" w:rsidP="00892001">
      <w:pPr>
        <w:pStyle w:val="Heading3"/>
        <w:spacing w:after="120"/>
      </w:pPr>
      <w:r>
        <w:t>Status</w:t>
      </w:r>
      <w:r w:rsidR="000B66A6">
        <w:t>:</w:t>
      </w:r>
    </w:p>
    <w:p w14:paraId="35BAC689" w14:textId="3E02622D" w:rsidR="00892001" w:rsidRDefault="006B4E13" w:rsidP="006B4E13">
      <w:pPr>
        <w:jc w:val="center"/>
      </w:pPr>
      <w:r>
        <w:rPr>
          <w:noProof/>
        </w:rPr>
        <w:drawing>
          <wp:inline distT="0" distB="0" distL="0" distR="0" wp14:anchorId="7C7D230C" wp14:editId="456B3DDE">
            <wp:extent cx="5775960" cy="275900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90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5E1EFE52" w:rsidR="007331E5" w:rsidRDefault="004F4D67" w:rsidP="007A32F7">
      <w:pPr>
        <w:ind w:left="360"/>
      </w:pPr>
      <w:r>
        <w:t xml:space="preserve">The </w:t>
      </w:r>
      <w:r w:rsidR="006B4E13">
        <w:rPr>
          <w:b/>
        </w:rPr>
        <w:t>Status</w:t>
      </w:r>
      <w:r>
        <w:rPr>
          <w:b/>
        </w:rPr>
        <w:t xml:space="preserve"> </w:t>
      </w:r>
      <w:r>
        <w:t>tab shows basic</w:t>
      </w:r>
      <w:r w:rsidR="006B4E13">
        <w:t xml:space="preserve"> status </w:t>
      </w:r>
      <w:r>
        <w:t xml:space="preserve">information about </w:t>
      </w:r>
      <w:proofErr w:type="gramStart"/>
      <w:r>
        <w:t>Direct</w:t>
      </w:r>
      <w:proofErr w:type="gramEnd"/>
      <w:r>
        <w:t xml:space="preserve"> domain</w:t>
      </w:r>
      <w:r w:rsidR="006B4E13">
        <w:t xml:space="preserve">’s </w:t>
      </w:r>
      <w:r w:rsidR="008F12AF">
        <w:t xml:space="preserve">DNS and STMP </w:t>
      </w:r>
      <w:r w:rsidR="006B4E13">
        <w:t>connections</w:t>
      </w:r>
      <w:r>
        <w:t xml:space="preserve">. </w:t>
      </w:r>
      <w:r w:rsidR="007331E5">
        <w:t xml:space="preserve">It </w:t>
      </w:r>
      <w:r w:rsidR="006B4E13">
        <w:t>monitors 6 different items that can be used to diagnose problems with the direct domain.</w:t>
      </w:r>
    </w:p>
    <w:p w14:paraId="1CFB4C10" w14:textId="77777777" w:rsidR="006B4E13" w:rsidRDefault="006B4E13" w:rsidP="007A32F7">
      <w:pPr>
        <w:ind w:left="360"/>
      </w:pPr>
    </w:p>
    <w:p w14:paraId="7C7BA74E" w14:textId="77777777" w:rsidR="008F12AF" w:rsidRDefault="006B4E13" w:rsidP="007A32F7">
      <w:pPr>
        <w:ind w:left="360"/>
      </w:pPr>
      <w:r>
        <w:t xml:space="preserve">Each item on the </w:t>
      </w:r>
      <w:r w:rsidRPr="006B4E13">
        <w:rPr>
          <w:b/>
        </w:rPr>
        <w:t>Status</w:t>
      </w:r>
      <w:r>
        <w:t xml:space="preserve"> tab begins with a small indicator light. If the connection is functional, the light will appear green; if there is a current issue, it will appear red. </w:t>
      </w:r>
    </w:p>
    <w:p w14:paraId="3EFEFED8" w14:textId="77777777" w:rsidR="008F12AF" w:rsidRDefault="008F12AF" w:rsidP="007A32F7">
      <w:pPr>
        <w:ind w:left="360"/>
      </w:pPr>
      <w:bookmarkStart w:id="1" w:name="_GoBack"/>
    </w:p>
    <w:bookmarkEnd w:id="1"/>
    <w:p w14:paraId="6FA1BC67" w14:textId="557F6EC8" w:rsidR="006B4E13" w:rsidRDefault="006B4E13" w:rsidP="007A32F7">
      <w:pPr>
        <w:ind w:left="360"/>
      </w:pPr>
      <w:r>
        <w:t xml:space="preserve">Click the </w:t>
      </w:r>
      <w:r w:rsidRPr="006B4E13">
        <w:rPr>
          <w:b/>
        </w:rPr>
        <w:t>Refresh</w:t>
      </w:r>
      <w:r>
        <w:t xml:space="preserve"> button in the upper left to check the current status.</w:t>
      </w:r>
      <w:r w:rsidR="008F12AF">
        <w:t xml:space="preserve"> Details about the connection’s status are listed in the right-hand column.</w:t>
      </w:r>
    </w:p>
    <w:p w14:paraId="7AB3FAF3" w14:textId="77777777" w:rsidR="007331E5" w:rsidRDefault="007331E5" w:rsidP="007A32F7">
      <w:pPr>
        <w:ind w:left="360"/>
      </w:pPr>
    </w:p>
    <w:p w14:paraId="39880885" w14:textId="0F3B4F4D" w:rsidR="000B66A6" w:rsidRDefault="006B4E13" w:rsidP="00892001">
      <w:pPr>
        <w:pStyle w:val="Heading3"/>
        <w:spacing w:after="120"/>
      </w:pPr>
      <w:r>
        <w:t>Users</w:t>
      </w:r>
      <w:r w:rsidR="000B66A6">
        <w:t>:</w:t>
      </w:r>
    </w:p>
    <w:p w14:paraId="5A88602D" w14:textId="3FF3AC5B" w:rsidR="00892001" w:rsidRDefault="00892001" w:rsidP="00892001">
      <w:pPr>
        <w:ind w:left="720"/>
      </w:pPr>
    </w:p>
    <w:p w14:paraId="6F5660E6" w14:textId="77777777" w:rsidR="00892001" w:rsidRPr="00892001" w:rsidRDefault="00892001" w:rsidP="00892001"/>
    <w:p w14:paraId="3DB10618" w14:textId="53FCF049" w:rsidR="000B66A6" w:rsidRDefault="007331E5" w:rsidP="007A32F7">
      <w:pPr>
        <w:ind w:left="360"/>
      </w:pPr>
      <w:r>
        <w:t xml:space="preserve">The </w:t>
      </w:r>
      <w:r w:rsidR="00705DF8">
        <w:rPr>
          <w:b/>
        </w:rPr>
        <w:t>Users</w:t>
      </w:r>
      <w:r w:rsidRPr="007331E5">
        <w:t xml:space="preserve"> tab simply </w:t>
      </w:r>
      <w:r>
        <w:t>displays the domain’s endpoint type. Endpoint type is determined when the domain is added to the HIE, and it can be one of three types:</w:t>
      </w:r>
    </w:p>
    <w:p w14:paraId="3F63F745" w14:textId="77777777" w:rsidR="007331E5" w:rsidRPr="007C7FE6" w:rsidRDefault="007331E5" w:rsidP="007A32F7">
      <w:pPr>
        <w:pStyle w:val="ListParagraph"/>
        <w:numPr>
          <w:ilvl w:val="0"/>
          <w:numId w:val="5"/>
        </w:numPr>
        <w:ind w:left="1080"/>
      </w:pPr>
      <w:r w:rsidRPr="007C7FE6">
        <w:t>Mail Management Service</w:t>
      </w:r>
    </w:p>
    <w:p w14:paraId="7911E203" w14:textId="77777777" w:rsidR="007331E5" w:rsidRPr="007C7FE6" w:rsidRDefault="007331E5" w:rsidP="007A32F7">
      <w:pPr>
        <w:pStyle w:val="ListParagraph"/>
        <w:numPr>
          <w:ilvl w:val="0"/>
          <w:numId w:val="5"/>
        </w:numPr>
        <w:ind w:left="1080"/>
      </w:pPr>
      <w:r w:rsidRPr="007C7FE6">
        <w:t>Enterprise Gateway</w:t>
      </w:r>
    </w:p>
    <w:p w14:paraId="3E188606" w14:textId="77777777" w:rsidR="007331E5" w:rsidRDefault="007331E5" w:rsidP="007A32F7">
      <w:pPr>
        <w:pStyle w:val="ListParagraph"/>
        <w:numPr>
          <w:ilvl w:val="0"/>
          <w:numId w:val="5"/>
        </w:numPr>
        <w:ind w:left="1080"/>
      </w:pPr>
      <w:r w:rsidRPr="007C7FE6">
        <w:t>Task System</w:t>
      </w:r>
    </w:p>
    <w:p w14:paraId="62FB32E4" w14:textId="7D064DEB" w:rsidR="00EB44CE" w:rsidRPr="007C7FE6" w:rsidRDefault="00EB44CE" w:rsidP="00EB44CE">
      <w:pPr>
        <w:ind w:left="270"/>
      </w:pPr>
      <w:r>
        <w:t xml:space="preserve"> See the “Adding Direct Domains” section for more information.</w:t>
      </w:r>
    </w:p>
    <w:p w14:paraId="799C2056" w14:textId="18055E03" w:rsidR="000B66A6" w:rsidRDefault="000B66A6" w:rsidP="00892001">
      <w:pPr>
        <w:pStyle w:val="Heading3"/>
        <w:spacing w:after="120"/>
      </w:pPr>
      <w:r>
        <w:lastRenderedPageBreak/>
        <w:t>User Groups:</w:t>
      </w:r>
    </w:p>
    <w:p w14:paraId="52623790" w14:textId="2BEB3DFE" w:rsidR="00892001" w:rsidRDefault="00892001" w:rsidP="00892001">
      <w:pPr>
        <w:ind w:left="720"/>
      </w:pPr>
      <w:r>
        <w:rPr>
          <w:noProof/>
        </w:rPr>
        <w:drawing>
          <wp:inline distT="0" distB="0" distL="0" distR="0" wp14:anchorId="7AB5FC55" wp14:editId="3B0708C0">
            <wp:extent cx="5265420" cy="14305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683" cy="14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630" w14:textId="77777777" w:rsidR="00892001" w:rsidRDefault="00892001" w:rsidP="00892001"/>
    <w:p w14:paraId="01CD4D20" w14:textId="540BC65A" w:rsidR="00892001" w:rsidRDefault="00892001" w:rsidP="007A32F7">
      <w:pPr>
        <w:ind w:left="360"/>
      </w:pPr>
      <w:r>
        <w:t xml:space="preserve">The </w:t>
      </w:r>
      <w:r>
        <w:rPr>
          <w:b/>
        </w:rPr>
        <w:t xml:space="preserve">User Group </w:t>
      </w:r>
      <w:r>
        <w:t xml:space="preserve">tab allows the user groups to be added to or deleted from the </w:t>
      </w:r>
      <w:proofErr w:type="gramStart"/>
      <w:r>
        <w:t>Direct</w:t>
      </w:r>
      <w:proofErr w:type="gramEnd"/>
      <w:r>
        <w:t xml:space="preserve"> domain. User groups are defined in the </w:t>
      </w:r>
      <w:r w:rsidRPr="00892001">
        <w:rPr>
          <w:b/>
        </w:rPr>
        <w:t>User Security</w:t>
      </w:r>
      <w:r>
        <w:t xml:space="preserve"> section of the </w:t>
      </w:r>
      <w:proofErr w:type="spellStart"/>
      <w:r>
        <w:t>webclient’s</w:t>
      </w:r>
      <w:proofErr w:type="spellEnd"/>
      <w:r>
        <w:t xml:space="preserve"> administrative section. </w:t>
      </w:r>
    </w:p>
    <w:p w14:paraId="5D63066F" w14:textId="77777777" w:rsidR="007A32F7" w:rsidRDefault="007A32F7" w:rsidP="007A32F7">
      <w:pPr>
        <w:ind w:left="360"/>
      </w:pPr>
    </w:p>
    <w:p w14:paraId="3AFAB1BB" w14:textId="09251956" w:rsidR="007A32F7" w:rsidRDefault="007A32F7" w:rsidP="007A32F7">
      <w:pPr>
        <w:ind w:left="360"/>
      </w:pPr>
      <w:r>
        <w:t xml:space="preserve">New groups can be added by selecting the desired group from the dropdown box. Once selected, they will appear in a list. Added groups can be removed from the domain by clicking on </w:t>
      </w:r>
      <w:r>
        <w:rPr>
          <w:b/>
        </w:rPr>
        <w:t>Delete</w:t>
      </w:r>
      <w:r>
        <w:t>.</w:t>
      </w:r>
    </w:p>
    <w:p w14:paraId="0FA0C10B" w14:textId="77777777" w:rsidR="0054174E" w:rsidRDefault="0054174E" w:rsidP="007A32F7">
      <w:pPr>
        <w:ind w:left="360"/>
      </w:pPr>
    </w:p>
    <w:p w14:paraId="251A8DC7" w14:textId="77777777" w:rsidR="0054174E" w:rsidRDefault="0054174E" w:rsidP="007A32F7">
      <w:pPr>
        <w:ind w:left="360"/>
      </w:pPr>
    </w:p>
    <w:p w14:paraId="602AC7FD" w14:textId="64472D51" w:rsidR="000B66A6" w:rsidRDefault="000B66A6" w:rsidP="000B66A6">
      <w:pPr>
        <w:pStyle w:val="Heading3"/>
      </w:pPr>
      <w:r>
        <w:t>Trust Anchors:</w:t>
      </w:r>
    </w:p>
    <w:p w14:paraId="0F032F77" w14:textId="77777777" w:rsidR="007A32F7" w:rsidRPr="007A32F7" w:rsidRDefault="007A32F7" w:rsidP="007A32F7"/>
    <w:p w14:paraId="424D3BC8" w14:textId="710E9B25" w:rsidR="000B66A6" w:rsidRDefault="007A32F7" w:rsidP="007A32F7">
      <w:pPr>
        <w:ind w:left="720"/>
      </w:pPr>
      <w:r>
        <w:rPr>
          <w:noProof/>
        </w:rPr>
        <w:drawing>
          <wp:inline distT="0" distB="0" distL="0" distR="0" wp14:anchorId="5862C643" wp14:editId="1209D30B">
            <wp:extent cx="5242560" cy="136440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356" cy="13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77777777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Trust 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599C6FA3" w:rsidR="007A32F7" w:rsidRPr="007A32F7" w:rsidRDefault="001E1E9F" w:rsidP="007A32F7">
      <w:pPr>
        <w:tabs>
          <w:tab w:val="left" w:pos="360"/>
        </w:tabs>
        <w:ind w:left="360"/>
      </w:pPr>
      <w:r>
        <w:t xml:space="preserve">A Trust Anchor’s certificate can be added to the domain by clicking on </w:t>
      </w:r>
      <w:r w:rsidRPr="001E1E9F">
        <w:rPr>
          <w:b/>
        </w:rPr>
        <w:t>Attach</w:t>
      </w:r>
      <w:r w:rsidRPr="001E1E9F">
        <w:t xml:space="preserve">, and then </w:t>
      </w:r>
      <w:r>
        <w:t xml:space="preserve">choosing the appropriate certificate file. Only .CER or .DER certificate files ca be added. Trust Anchors can be removed from the domain by clicking on </w:t>
      </w:r>
      <w:r w:rsidRPr="001E1E9F">
        <w:rPr>
          <w:b/>
        </w:rPr>
        <w:t>Delete</w:t>
      </w:r>
      <w:r>
        <w:rPr>
          <w:b/>
        </w:rPr>
        <w:t>.</w:t>
      </w:r>
    </w:p>
    <w:p w14:paraId="27FB48B1" w14:textId="6E206A64" w:rsidR="000B66A6" w:rsidRDefault="000B66A6" w:rsidP="001E1E9F">
      <w:pPr>
        <w:pStyle w:val="Heading3"/>
        <w:spacing w:after="120"/>
      </w:pPr>
      <w:r>
        <w:t>Trust Bundles:</w:t>
      </w:r>
    </w:p>
    <w:p w14:paraId="2A56642A" w14:textId="6E242EF8" w:rsidR="000B66A6" w:rsidRDefault="001E1E9F" w:rsidP="001E1E9F">
      <w:pPr>
        <w:ind w:left="720"/>
      </w:pPr>
      <w:r>
        <w:rPr>
          <w:noProof/>
        </w:rPr>
        <w:drawing>
          <wp:inline distT="0" distB="0" distL="0" distR="0" wp14:anchorId="7D2AC505" wp14:editId="422FAD1E">
            <wp:extent cx="5204460" cy="11265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634" cy="11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248D" w14:textId="77777777" w:rsidR="001E1E9F" w:rsidRDefault="001E1E9F" w:rsidP="001E1E9F">
      <w:pPr>
        <w:ind w:left="720"/>
      </w:pPr>
    </w:p>
    <w:p w14:paraId="3EB40818" w14:textId="1E06FF79" w:rsidR="001E1E9F" w:rsidRPr="00491A36" w:rsidRDefault="001E1E9F" w:rsidP="001E1E9F">
      <w:pPr>
        <w:ind w:left="360"/>
      </w:pPr>
      <w:r>
        <w:t xml:space="preserve">The </w:t>
      </w:r>
      <w:r w:rsidRPr="001E1E9F">
        <w:rPr>
          <w:b/>
        </w:rPr>
        <w:t>Trust 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491A36">
        <w:t xml:space="preserve"> To add a trust bundle, </w:t>
      </w:r>
      <w:r w:rsidR="00AF6018">
        <w:t>type</w:t>
      </w:r>
      <w:r w:rsidR="00491A36">
        <w:t xml:space="preserve"> the appropriate URI </w:t>
      </w:r>
      <w:r w:rsidR="00AF6018">
        <w:t xml:space="preserve">in the </w:t>
      </w:r>
      <w:r w:rsidR="00AF6018" w:rsidRPr="00AF6018">
        <w:rPr>
          <w:i/>
        </w:rPr>
        <w:t>Trust Bundle Uri</w:t>
      </w:r>
      <w:r w:rsidR="00AF6018">
        <w:t xml:space="preserve"> box </w:t>
      </w:r>
      <w:r w:rsidR="00491A36">
        <w:t xml:space="preserve">and click </w:t>
      </w:r>
      <w:r w:rsidR="00491A36" w:rsidRPr="00491A36">
        <w:rPr>
          <w:b/>
        </w:rPr>
        <w:t>Add</w:t>
      </w:r>
      <w:r w:rsidR="00491A36">
        <w:t>.</w:t>
      </w:r>
    </w:p>
    <w:p w14:paraId="4F4D6876" w14:textId="08B99414" w:rsidR="000B66A6" w:rsidRDefault="000B66A6" w:rsidP="00491A36">
      <w:pPr>
        <w:pStyle w:val="Heading3"/>
        <w:spacing w:after="120"/>
      </w:pPr>
      <w:r>
        <w:lastRenderedPageBreak/>
        <w:t>Address Book:</w:t>
      </w:r>
    </w:p>
    <w:p w14:paraId="5BD006A9" w14:textId="64D34CB1" w:rsidR="00491A36" w:rsidRDefault="00491A36" w:rsidP="00491A36">
      <w:pPr>
        <w:ind w:left="720"/>
      </w:pPr>
      <w:r>
        <w:rPr>
          <w:noProof/>
        </w:rPr>
        <w:drawing>
          <wp:inline distT="0" distB="0" distL="0" distR="0" wp14:anchorId="19320B81" wp14:editId="6F75B420">
            <wp:extent cx="5189220" cy="1804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700" cy="18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1A07" w14:textId="77777777" w:rsidR="00491A36" w:rsidRDefault="00491A36" w:rsidP="00491A36">
      <w:pPr>
        <w:ind w:left="720"/>
      </w:pPr>
    </w:p>
    <w:p w14:paraId="16B0D667" w14:textId="6CAD0C42" w:rsidR="00491A36" w:rsidRDefault="00491A36" w:rsidP="00491A36">
      <w:pPr>
        <w:ind w:left="360"/>
      </w:pPr>
      <w:r>
        <w:t xml:space="preserve">The </w:t>
      </w:r>
      <w:r>
        <w:rPr>
          <w:b/>
        </w:rPr>
        <w:t>Address Book</w:t>
      </w:r>
      <w:r>
        <w:t xml:space="preserve"> tab allows </w:t>
      </w:r>
      <w:proofErr w:type="gramStart"/>
      <w:r>
        <w:t>Direct</w:t>
      </w:r>
      <w:proofErr w:type="gramEnd"/>
      <w:r>
        <w:t xml:space="preserve"> addresses to be associated with a specific domain.</w:t>
      </w:r>
    </w:p>
    <w:p w14:paraId="42D280FE" w14:textId="77777777" w:rsidR="00491A36" w:rsidRDefault="00491A36" w:rsidP="00491A36">
      <w:pPr>
        <w:ind w:left="360"/>
      </w:pPr>
    </w:p>
    <w:p w14:paraId="48BC912E" w14:textId="77777777" w:rsidR="00A12F12" w:rsidRDefault="00491A36" w:rsidP="00A12F12">
      <w:pPr>
        <w:ind w:left="360"/>
      </w:pPr>
      <w:r>
        <w:t xml:space="preserve">To add an individual </w:t>
      </w:r>
      <w:proofErr w:type="gramStart"/>
      <w:r>
        <w:t>Direct</w:t>
      </w:r>
      <w:proofErr w:type="gramEnd"/>
      <w:r>
        <w:t xml:space="preserve"> address, type a user’s name in the </w:t>
      </w:r>
      <w:r w:rsidRPr="00491A36">
        <w:rPr>
          <w:i/>
        </w:rPr>
        <w:t>Name</w:t>
      </w:r>
      <w:r>
        <w:t xml:space="preserve"> box, the user’s Direct address in the </w:t>
      </w:r>
      <w:r w:rsidRPr="00491A36">
        <w:rPr>
          <w:i/>
        </w:rPr>
        <w:t>Direct Email</w:t>
      </w:r>
      <w:r>
        <w:t xml:space="preserve"> box, and then click </w:t>
      </w:r>
      <w:r w:rsidRPr="00491A36">
        <w:rPr>
          <w:b/>
        </w:rPr>
        <w:t>Add</w:t>
      </w:r>
      <w:r>
        <w:t xml:space="preserve">. </w:t>
      </w:r>
      <w:r w:rsidR="00A12F12">
        <w:t>The name and address will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032BDDB3" w:rsidR="00985D8F" w:rsidRPr="00985D8F" w:rsidRDefault="00985D8F" w:rsidP="00A12F12">
      <w:pPr>
        <w:ind w:left="360"/>
        <w:rPr>
          <w:u w:val="single"/>
        </w:rPr>
      </w:pPr>
      <w:r w:rsidRPr="00985D8F">
        <w:rPr>
          <w:u w:val="single"/>
        </w:rPr>
        <w:t>Note</w:t>
      </w:r>
      <w:r w:rsidRPr="00985D8F">
        <w:t xml:space="preserve">: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Pr="00985D8F">
        <w:rPr>
          <w:i/>
        </w:rPr>
        <w:t>Direct Email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proofErr w:type="gramStart"/>
      <w:r>
        <w:t>Direct</w:t>
      </w:r>
      <w:proofErr w:type="gramEnd"/>
      <w:r>
        <w:t xml:space="preserve">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7473231" w14:textId="77777777" w:rsidR="00985D8F" w:rsidRDefault="0036345E" w:rsidP="00491A36">
      <w:pPr>
        <w:ind w:left="360"/>
      </w:pPr>
      <w:r>
        <w:t>Once Direct user addresses or outside domains are added to the address book, they will be valid recipients</w:t>
      </w:r>
      <w:r w:rsidR="00985D8F">
        <w:t xml:space="preserve"> for </w:t>
      </w:r>
      <w:proofErr w:type="gramStart"/>
      <w:r w:rsidR="00985D8F">
        <w:t>Direct</w:t>
      </w:r>
      <w:proofErr w:type="gramEnd"/>
      <w:r w:rsidR="00985D8F">
        <w:t xml:space="preserve"> users of this domain</w:t>
      </w:r>
      <w:r>
        <w:t xml:space="preserve">. This also means that recipients in the address book will appear as autocomplete suggestions </w:t>
      </w:r>
      <w:r w:rsidR="00985D8F">
        <w:t>when typed into the address fields when composing messages.</w:t>
      </w:r>
    </w:p>
    <w:p w14:paraId="328D9B61" w14:textId="415D5DAA" w:rsidR="0036345E" w:rsidRPr="00A12F12" w:rsidRDefault="00985D8F" w:rsidP="00491A36">
      <w:pPr>
        <w:ind w:left="360"/>
      </w:pPr>
      <w:r>
        <w:t xml:space="preserve"> </w:t>
      </w:r>
    </w:p>
    <w:p w14:paraId="587D9B43" w14:textId="1C32C23F" w:rsidR="00A12F12" w:rsidRDefault="00A12F12" w:rsidP="00A12F12">
      <w:pPr>
        <w:pStyle w:val="Heading3"/>
      </w:pPr>
      <w:r>
        <w:t xml:space="preserve">Adding Direct Domains </w:t>
      </w:r>
    </w:p>
    <w:p w14:paraId="70E6644E" w14:textId="6468F051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begin adding Direct Messaging functionality to the HIE, a Direct domain must be added to the system. Multiple domains can be added to a single HIE. Each domain will appear as a separate dashboard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</w:p>
    <w:p w14:paraId="36E70A29" w14:textId="10699D9A" w:rsidR="00A12F12" w:rsidRDefault="007D2996" w:rsidP="00E55DBE">
      <w:pPr>
        <w:rPr>
          <w:noProof/>
        </w:rPr>
      </w:pPr>
      <w:r>
        <w:rPr>
          <w:noProof/>
        </w:rPr>
        <w:t xml:space="preserve">To add a Direct domain, click on the </w:t>
      </w:r>
      <w:r w:rsidRPr="007D2996">
        <w:rPr>
          <w:b/>
          <w:noProof/>
        </w:rPr>
        <w:t>Add new domain</w:t>
      </w:r>
      <w:r>
        <w:rPr>
          <w:noProof/>
        </w:rPr>
        <w:t xml:space="preserve"> button at the top of the screen.</w:t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0B3A6B24" w14:textId="44842A7A" w:rsidR="00E55DBE" w:rsidRPr="00E55DBE" w:rsidRDefault="007D2996" w:rsidP="00E55DBE">
      <w:r>
        <w:rPr>
          <w:noProof/>
        </w:rPr>
        <w:drawing>
          <wp:inline distT="0" distB="0" distL="0" distR="0" wp14:anchorId="1D5E6A3B" wp14:editId="392CCFD0">
            <wp:extent cx="5120640" cy="1571752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173" cy="15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98C" w14:textId="77777777" w:rsidR="00E55DBE" w:rsidRDefault="00E55DBE" w:rsidP="00E55DBE"/>
    <w:p w14:paraId="6A44F9E4" w14:textId="77777777" w:rsidR="00AF6018" w:rsidRDefault="007D2996" w:rsidP="00E55DBE">
      <w:r>
        <w:t xml:space="preserve">The </w:t>
      </w:r>
      <w:r w:rsidRPr="007D2996">
        <w:rPr>
          <w:i/>
        </w:rPr>
        <w:t>Add New Domain</w:t>
      </w:r>
      <w:r>
        <w:t xml:space="preserve"> window will appear. </w:t>
      </w:r>
    </w:p>
    <w:p w14:paraId="1C531E51" w14:textId="77777777" w:rsidR="00AF6018" w:rsidRDefault="00AF6018" w:rsidP="00E55DBE"/>
    <w:p w14:paraId="3BBECAFD" w14:textId="163227B7" w:rsidR="00AF6018" w:rsidRDefault="00AF6018" w:rsidP="00E55DBE">
      <w:r>
        <w:rPr>
          <w:noProof/>
        </w:rPr>
        <w:drawing>
          <wp:inline distT="0" distB="0" distL="0" distR="0" wp14:anchorId="1D2A5CF1" wp14:editId="7D3C4BA2">
            <wp:extent cx="3931920" cy="2956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914" cy="29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347" w14:textId="77777777" w:rsidR="00AF6018" w:rsidRDefault="00AF6018" w:rsidP="00E55DBE"/>
    <w:p w14:paraId="7B6AD014" w14:textId="7333911E" w:rsidR="00EB44CE" w:rsidRDefault="007D2996" w:rsidP="00E55DBE">
      <w:r>
        <w:t xml:space="preserve">Type the domain in the box provided. The domain’s certificate can be added by clicking on the </w:t>
      </w:r>
      <w:r w:rsidRPr="007D2996">
        <w:rPr>
          <w:b/>
        </w:rPr>
        <w:t>Certificate</w:t>
      </w:r>
      <w:r>
        <w:t xml:space="preserve"> button and selecting the appropriate .PFX file. </w:t>
      </w:r>
    </w:p>
    <w:p w14:paraId="40EE0F15" w14:textId="77777777" w:rsidR="00EB44CE" w:rsidRDefault="00EB44CE" w:rsidP="00E55DBE"/>
    <w:p w14:paraId="06BDC96A" w14:textId="77777777" w:rsidR="0054174E" w:rsidRDefault="0054174E" w:rsidP="00E55DBE"/>
    <w:p w14:paraId="39E48AE0" w14:textId="77777777" w:rsidR="0054174E" w:rsidRDefault="0054174E" w:rsidP="00E55DBE"/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77777777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</w:p>
    <w:p w14:paraId="4CAD3457" w14:textId="77777777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Enterprise Gateway</w:t>
      </w:r>
    </w:p>
    <w:p w14:paraId="2BBDC0B4" w14:textId="77777777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951D65">
      <w:pPr>
        <w:pStyle w:val="Heading3"/>
      </w:pPr>
      <w:r>
        <w:t>Direct Administration Log</w:t>
      </w:r>
    </w:p>
    <w:p w14:paraId="35A0A189" w14:textId="0BC82856" w:rsidR="00951D65" w:rsidRDefault="00951D65" w:rsidP="00951D65"/>
    <w:p w14:paraId="6E61D338" w14:textId="6D137BE8" w:rsidR="00951D65" w:rsidRPr="00951D65" w:rsidRDefault="00951D65" w:rsidP="00951D65">
      <w:r>
        <w:t xml:space="preserve">The </w:t>
      </w:r>
      <w:r w:rsidRPr="00951D65">
        <w:rPr>
          <w:b/>
        </w:rPr>
        <w:t>Log</w:t>
      </w:r>
      <w:r>
        <w:rPr>
          <w:b/>
        </w:rPr>
        <w:t xml:space="preserve"> </w:t>
      </w:r>
      <w:r>
        <w:t>tab on the Direct Administration screen allows a number of auditing and diagnostic measures to be reviewed.</w:t>
      </w:r>
    </w:p>
    <w:p w14:paraId="34685B09" w14:textId="77777777" w:rsidR="00951D65" w:rsidRDefault="00951D65" w:rsidP="00951D65"/>
    <w:p w14:paraId="22794ABA" w14:textId="2460DE30" w:rsidR="00951D65" w:rsidRPr="00951D65" w:rsidRDefault="00951D65" w:rsidP="00951D65">
      <w:r>
        <w:rPr>
          <w:noProof/>
        </w:rPr>
        <w:lastRenderedPageBreak/>
        <w:drawing>
          <wp:inline distT="0" distB="0" distL="0" distR="0" wp14:anchorId="49D17E3A" wp14:editId="1FFBADB8">
            <wp:extent cx="5943600" cy="1947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5D59B4E1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>Choose App</w:t>
      </w:r>
      <w:r>
        <w:rPr>
          <w:rFonts w:ascii="Calibri" w:eastAsia="Times New Roman" w:hAnsi="Calibri" w:cs="Times New Roman"/>
        </w:rPr>
        <w:t xml:space="preserve"> dropdown to select an area of information.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52CCB644" w14:textId="1DFBC837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4EC45AC5" w14:textId="4A8A7FD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Enterprise Gateway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685FC349" w14:textId="77777777" w:rsidR="00AF6018" w:rsidRPr="00EE4ECB" w:rsidRDefault="00AF6018" w:rsidP="00AF6018">
      <w:pPr>
        <w:pStyle w:val="ListParagraph"/>
        <w:spacing w:line="276" w:lineRule="auto"/>
        <w:rPr>
          <w:rFonts w:ascii="Calibri" w:eastAsia="Times New Roman" w:hAnsi="Calibri" w:cs="Times New Roman"/>
          <w:b/>
        </w:rPr>
      </w:pPr>
    </w:p>
    <w:p w14:paraId="7BBAF02C" w14:textId="667835C2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type of log information to be viewed about an area. Selections include: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10D5C0EA" w14:textId="371DD4F8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Error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Information</w:t>
      </w:r>
    </w:p>
    <w:p w14:paraId="5C701982" w14:textId="538F7A1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Unspecified</w:t>
      </w:r>
    </w:p>
    <w:p w14:paraId="727B355C" w14:textId="53E34F38" w:rsidR="00EE4ECB" w:rsidRPr="00EE4ECB" w:rsidRDefault="00EE4ECB" w:rsidP="00B805E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</w:p>
    <w:p w14:paraId="622ED328" w14:textId="0BC54E0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type in the desired date for log information in the </w:t>
      </w:r>
      <w:r w:rsidRPr="00EE4ECB">
        <w:rPr>
          <w:rFonts w:ascii="Calibri" w:eastAsia="Times New Roman" w:hAnsi="Calibri" w:cs="Times New Roman"/>
          <w:i/>
        </w:rPr>
        <w:t xml:space="preserve">Choose </w:t>
      </w:r>
      <w:r w:rsidRPr="00EE4ECB">
        <w:rPr>
          <w:rFonts w:ascii="Calibri" w:eastAsia="Times New Roman" w:hAnsi="Calibri" w:cs="Times New Roman"/>
        </w:rPr>
        <w:t>Date</w:t>
      </w:r>
      <w:r>
        <w:rPr>
          <w:rFonts w:ascii="Calibri" w:eastAsia="Times New Roman" w:hAnsi="Calibri" w:cs="Times New Roman"/>
        </w:rPr>
        <w:t xml:space="preserve"> box, or select a date from the calendar tool. </w:t>
      </w:r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64D83" w14:textId="77777777" w:rsidR="009401EE" w:rsidRDefault="009401EE" w:rsidP="00C56480">
      <w:r>
        <w:separator/>
      </w:r>
    </w:p>
  </w:endnote>
  <w:endnote w:type="continuationSeparator" w:id="0">
    <w:p w14:paraId="6CE6D60B" w14:textId="77777777" w:rsidR="009401EE" w:rsidRDefault="009401E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9354EBB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05DF8">
      <w:rPr>
        <w:noProof/>
      </w:rPr>
      <w:t>5</w:t>
    </w:r>
    <w:r>
      <w:rPr>
        <w:noProof/>
      </w:rPr>
      <w:fldChar w:fldCharType="end"/>
    </w:r>
    <w:r>
      <w:t xml:space="preserve"> </w:t>
    </w:r>
    <w:r>
      <w:tab/>
    </w:r>
    <w:r w:rsidR="00511CC9">
      <w:t>November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230DE" w14:textId="77777777" w:rsidR="009401EE" w:rsidRDefault="009401EE" w:rsidP="00C56480">
      <w:r>
        <w:separator/>
      </w:r>
    </w:p>
  </w:footnote>
  <w:footnote w:type="continuationSeparator" w:id="0">
    <w:p w14:paraId="75EDB55F" w14:textId="77777777" w:rsidR="009401EE" w:rsidRDefault="009401E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54D7E"/>
    <w:rsid w:val="00056AC3"/>
    <w:rsid w:val="000777A9"/>
    <w:rsid w:val="00090067"/>
    <w:rsid w:val="000B66A6"/>
    <w:rsid w:val="000C60DB"/>
    <w:rsid w:val="000F0F05"/>
    <w:rsid w:val="001048C6"/>
    <w:rsid w:val="00107B8A"/>
    <w:rsid w:val="001E1E9F"/>
    <w:rsid w:val="001F67B9"/>
    <w:rsid w:val="0020504E"/>
    <w:rsid w:val="0021469D"/>
    <w:rsid w:val="00234D9C"/>
    <w:rsid w:val="002536A6"/>
    <w:rsid w:val="002753BC"/>
    <w:rsid w:val="00281DBB"/>
    <w:rsid w:val="0029292D"/>
    <w:rsid w:val="002B644A"/>
    <w:rsid w:val="002C1D90"/>
    <w:rsid w:val="003004E3"/>
    <w:rsid w:val="00317AB7"/>
    <w:rsid w:val="00331008"/>
    <w:rsid w:val="00334BAB"/>
    <w:rsid w:val="00334E07"/>
    <w:rsid w:val="0036345E"/>
    <w:rsid w:val="003A6970"/>
    <w:rsid w:val="00455434"/>
    <w:rsid w:val="00491A36"/>
    <w:rsid w:val="004B0028"/>
    <w:rsid w:val="004F4D67"/>
    <w:rsid w:val="0050566C"/>
    <w:rsid w:val="0051101E"/>
    <w:rsid w:val="00511CC9"/>
    <w:rsid w:val="0054174E"/>
    <w:rsid w:val="00582635"/>
    <w:rsid w:val="00591D3E"/>
    <w:rsid w:val="005B7D90"/>
    <w:rsid w:val="005F24E8"/>
    <w:rsid w:val="0060101F"/>
    <w:rsid w:val="006051E2"/>
    <w:rsid w:val="006710B4"/>
    <w:rsid w:val="00682CB6"/>
    <w:rsid w:val="006878A0"/>
    <w:rsid w:val="00694DA1"/>
    <w:rsid w:val="006A257B"/>
    <w:rsid w:val="006B4DF3"/>
    <w:rsid w:val="006B4E13"/>
    <w:rsid w:val="006E3EC0"/>
    <w:rsid w:val="00705DF8"/>
    <w:rsid w:val="0072345A"/>
    <w:rsid w:val="007331E5"/>
    <w:rsid w:val="00740E01"/>
    <w:rsid w:val="00744EA1"/>
    <w:rsid w:val="0074621C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B0D74"/>
    <w:rsid w:val="008F12AF"/>
    <w:rsid w:val="008F6761"/>
    <w:rsid w:val="0093783C"/>
    <w:rsid w:val="009401EE"/>
    <w:rsid w:val="00951D65"/>
    <w:rsid w:val="00985D8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D1340"/>
    <w:rsid w:val="00AD2A29"/>
    <w:rsid w:val="00AF6018"/>
    <w:rsid w:val="00B02434"/>
    <w:rsid w:val="00B33218"/>
    <w:rsid w:val="00B562CC"/>
    <w:rsid w:val="00B57559"/>
    <w:rsid w:val="00B66F8F"/>
    <w:rsid w:val="00B75EE2"/>
    <w:rsid w:val="00B76BBF"/>
    <w:rsid w:val="00B85C9E"/>
    <w:rsid w:val="00B87882"/>
    <w:rsid w:val="00BB05AA"/>
    <w:rsid w:val="00BC245A"/>
    <w:rsid w:val="00BE0E38"/>
    <w:rsid w:val="00C43671"/>
    <w:rsid w:val="00C512D5"/>
    <w:rsid w:val="00C56480"/>
    <w:rsid w:val="00C863DE"/>
    <w:rsid w:val="00CC2CCC"/>
    <w:rsid w:val="00D54453"/>
    <w:rsid w:val="00D971B8"/>
    <w:rsid w:val="00DA5A74"/>
    <w:rsid w:val="00E35297"/>
    <w:rsid w:val="00E433DA"/>
    <w:rsid w:val="00E55DBE"/>
    <w:rsid w:val="00EB44CE"/>
    <w:rsid w:val="00EC4319"/>
    <w:rsid w:val="00EE4ECB"/>
    <w:rsid w:val="00F048E9"/>
    <w:rsid w:val="00F30887"/>
    <w:rsid w:val="00FA0971"/>
    <w:rsid w:val="00FF3FB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A0A4-82D9-497A-9FBE-55176D14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6</cp:revision>
  <dcterms:created xsi:type="dcterms:W3CDTF">2014-11-18T10:21:00Z</dcterms:created>
  <dcterms:modified xsi:type="dcterms:W3CDTF">2014-11-19T20:01:00Z</dcterms:modified>
</cp:coreProperties>
</file>