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7A8" w:rsidRPr="009D57A8" w:rsidRDefault="00647A39" w:rsidP="009D57A8">
      <w:pPr>
        <w:pStyle w:val="Heading1"/>
        <w:rPr>
          <w:rFonts w:eastAsia="Times New Roman"/>
        </w:rPr>
      </w:pPr>
      <w:bookmarkStart w:id="0" w:name="_Toc357681002"/>
      <w:r>
        <w:rPr>
          <w:rFonts w:eastAsia="Times New Roman"/>
        </w:rPr>
        <w:t>DASHBOARD</w:t>
      </w:r>
      <w:r w:rsidR="009D57A8" w:rsidRPr="009D57A8">
        <w:rPr>
          <w:rFonts w:eastAsia="Times New Roman"/>
        </w:rPr>
        <w:t xml:space="preserve"> </w:t>
      </w:r>
      <w:bookmarkEnd w:id="0"/>
    </w:p>
    <w:p w:rsidR="00BB4920" w:rsidRDefault="008365EF" w:rsidP="009D57A8">
      <w:pPr>
        <w:rPr>
          <w:rFonts w:ascii="Calibri" w:eastAsia="Times New Roman" w:hAnsi="Calibri" w:cs="Times New Roman"/>
        </w:rPr>
      </w:pPr>
      <w:r>
        <w:rPr>
          <w:rFonts w:ascii="Calibri" w:eastAsia="Times New Roman" w:hAnsi="Calibri" w:cs="Times New Roman"/>
        </w:rPr>
        <w:t>The</w:t>
      </w:r>
      <w:r w:rsidR="009D57A8" w:rsidRPr="009D57A8">
        <w:rPr>
          <w:rFonts w:ascii="Calibri" w:eastAsia="Times New Roman" w:hAnsi="Calibri" w:cs="Times New Roman"/>
        </w:rPr>
        <w:t xml:space="preserve"> </w:t>
      </w:r>
      <w:r w:rsidR="00BB3BBB">
        <w:rPr>
          <w:rFonts w:ascii="Calibri" w:eastAsia="Times New Roman" w:hAnsi="Calibri" w:cs="Times New Roman"/>
          <w:b/>
        </w:rPr>
        <w:t>Dashboard</w:t>
      </w:r>
      <w:r w:rsidR="009D57A8" w:rsidRPr="009D57A8">
        <w:rPr>
          <w:rFonts w:ascii="Calibri" w:eastAsia="Times New Roman" w:hAnsi="Calibri" w:cs="Times New Roman"/>
          <w:b/>
        </w:rPr>
        <w:t xml:space="preserve"> </w:t>
      </w:r>
      <w:r w:rsidR="00B1126B">
        <w:rPr>
          <w:rFonts w:ascii="Calibri" w:eastAsia="Times New Roman" w:hAnsi="Calibri" w:cs="Times New Roman"/>
        </w:rPr>
        <w:t xml:space="preserve">tab </w:t>
      </w:r>
      <w:r w:rsidR="00BB3BBB">
        <w:rPr>
          <w:rFonts w:ascii="Calibri" w:eastAsia="Times New Roman" w:hAnsi="Calibri" w:cs="Times New Roman"/>
        </w:rPr>
        <w:t>uses a collection of windows to provide</w:t>
      </w:r>
      <w:r w:rsidR="00B1126B">
        <w:rPr>
          <w:rFonts w:ascii="Calibri" w:eastAsia="Times New Roman" w:hAnsi="Calibri" w:cs="Times New Roman"/>
        </w:rPr>
        <w:t xml:space="preserve"> a </w:t>
      </w:r>
      <w:r w:rsidR="00BB3BBB">
        <w:rPr>
          <w:rFonts w:ascii="Calibri" w:eastAsia="Times New Roman" w:hAnsi="Calibri" w:cs="Times New Roman"/>
        </w:rPr>
        <w:t>comprehensive</w:t>
      </w:r>
      <w:r w:rsidR="00B1126B">
        <w:rPr>
          <w:rFonts w:ascii="Calibri" w:eastAsia="Times New Roman" w:hAnsi="Calibri" w:cs="Times New Roman"/>
        </w:rPr>
        <w:t xml:space="preserve"> view of all</w:t>
      </w:r>
      <w:r w:rsidR="009634C1">
        <w:rPr>
          <w:rFonts w:ascii="Calibri" w:eastAsia="Times New Roman" w:hAnsi="Calibri" w:cs="Times New Roman"/>
        </w:rPr>
        <w:t xml:space="preserve"> your</w:t>
      </w:r>
      <w:r w:rsidR="00B1126B">
        <w:rPr>
          <w:rFonts w:ascii="Calibri" w:eastAsia="Times New Roman" w:hAnsi="Calibri" w:cs="Times New Roman"/>
        </w:rPr>
        <w:t xml:space="preserve"> </w:t>
      </w:r>
      <w:r w:rsidR="009D57A8" w:rsidRPr="009D57A8">
        <w:rPr>
          <w:rFonts w:ascii="Calibri" w:eastAsia="Times New Roman" w:hAnsi="Calibri" w:cs="Times New Roman"/>
          <w:i/>
        </w:rPr>
        <w:t>Problems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Encounters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Reports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Lab Results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Medications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Allergies</w:t>
      </w:r>
      <w:r w:rsidR="009D57A8" w:rsidRPr="009D57A8">
        <w:rPr>
          <w:rFonts w:ascii="Calibri" w:eastAsia="Times New Roman" w:hAnsi="Calibri" w:cs="Times New Roman"/>
        </w:rPr>
        <w:t xml:space="preserve">, </w:t>
      </w:r>
      <w:r w:rsidR="009D57A8" w:rsidRPr="009D57A8">
        <w:rPr>
          <w:rFonts w:ascii="Calibri" w:eastAsia="Times New Roman" w:hAnsi="Calibri" w:cs="Times New Roman"/>
          <w:i/>
        </w:rPr>
        <w:t>Immunizations</w:t>
      </w:r>
      <w:r w:rsidR="009D57A8" w:rsidRPr="009D57A8">
        <w:rPr>
          <w:rFonts w:ascii="Calibri" w:eastAsia="Times New Roman" w:hAnsi="Calibri" w:cs="Times New Roman"/>
        </w:rPr>
        <w:t xml:space="preserve">, and </w:t>
      </w:r>
      <w:r w:rsidR="009D57A8" w:rsidRPr="009D57A8">
        <w:rPr>
          <w:rFonts w:ascii="Calibri" w:eastAsia="Times New Roman" w:hAnsi="Calibri" w:cs="Times New Roman"/>
          <w:i/>
        </w:rPr>
        <w:t>Provider Information</w:t>
      </w:r>
      <w:r w:rsidR="009634C1">
        <w:rPr>
          <w:rFonts w:ascii="Calibri" w:eastAsia="Times New Roman" w:hAnsi="Calibri" w:cs="Times New Roman"/>
        </w:rPr>
        <w:t xml:space="preserve"> contained within the</w:t>
      </w:r>
      <w:r w:rsidR="009D57A8" w:rsidRPr="009D57A8">
        <w:rPr>
          <w:rFonts w:ascii="Calibri" w:eastAsia="Times New Roman" w:hAnsi="Calibri" w:cs="Times New Roman"/>
        </w:rPr>
        <w:t xml:space="preserve"> HIE.</w:t>
      </w:r>
      <w:r w:rsidR="00BB4920">
        <w:rPr>
          <w:rFonts w:ascii="Calibri" w:eastAsia="Times New Roman" w:hAnsi="Calibri" w:cs="Times New Roman"/>
        </w:rPr>
        <w:t xml:space="preserve"> By default, outpatient lab results and reports are available 48 hours after they are final. Inpatient results are available 36 hours after discharge from the hospital. Some kinds of lab results and reports may not be included—ask your healthcare provider if a result is not displayed.</w:t>
      </w:r>
    </w:p>
    <w:p w:rsidR="007F11DE" w:rsidRDefault="00B7769B" w:rsidP="009D57A8">
      <w:r>
        <w:rPr>
          <w:noProof/>
        </w:rPr>
        <w:drawing>
          <wp:inline distT="0" distB="0" distL="0" distR="0" wp14:anchorId="5E5F0F3F" wp14:editId="35118234">
            <wp:extent cx="5943600" cy="297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4975"/>
                    </a:xfrm>
                    <a:prstGeom prst="rect">
                      <a:avLst/>
                    </a:prstGeom>
                  </pic:spPr>
                </pic:pic>
              </a:graphicData>
            </a:graphic>
          </wp:inline>
        </w:drawing>
      </w:r>
      <w:bookmarkStart w:id="1" w:name="_GoBack"/>
      <w:bookmarkEnd w:id="1"/>
    </w:p>
    <w:p w:rsidR="00BB3BBB" w:rsidRDefault="00BB3BBB">
      <w:pPr>
        <w:spacing w:after="0" w:line="240" w:lineRule="auto"/>
      </w:pPr>
      <w:r>
        <w:br w:type="page"/>
      </w:r>
    </w:p>
    <w:p w:rsidR="009634C1" w:rsidRDefault="00647A39" w:rsidP="009634C1">
      <w:pPr>
        <w:spacing w:after="120"/>
        <w:rPr>
          <w:rFonts w:ascii="Calibri" w:eastAsia="Times New Roman" w:hAnsi="Calibri" w:cs="Times New Roman"/>
          <w:noProof/>
        </w:rPr>
      </w:pPr>
      <w:r>
        <w:lastRenderedPageBreak/>
        <w:t xml:space="preserve">The default </w:t>
      </w:r>
      <w:r>
        <w:rPr>
          <w:i/>
        </w:rPr>
        <w:t>Date Range</w:t>
      </w:r>
      <w:r>
        <w:t xml:space="preserve"> displayed is the past two yea</w:t>
      </w:r>
      <w:r w:rsidR="009634C1">
        <w:t xml:space="preserve">rs up to the next three months (to allow for future Encounters, such as a scheduled clinic visit). To filter by a different date range, </w:t>
      </w:r>
      <w:r w:rsidR="009634C1">
        <w:rPr>
          <w:rFonts w:ascii="Calibri" w:eastAsia="Times New Roman" w:hAnsi="Calibri" w:cs="Times New Roman"/>
        </w:rPr>
        <w:t>c</w:t>
      </w:r>
      <w:r w:rsidR="009634C1">
        <w:rPr>
          <w:rFonts w:ascii="Calibri" w:eastAsia="Times New Roman" w:hAnsi="Calibri" w:cs="Times New Roman"/>
          <w:noProof/>
        </w:rPr>
        <w:t xml:space="preserve">lick on the displayed </w:t>
      </w:r>
      <w:r w:rsidR="009634C1" w:rsidRPr="009634C1">
        <w:rPr>
          <w:rFonts w:ascii="Calibri" w:eastAsia="Times New Roman" w:hAnsi="Calibri" w:cs="Times New Roman"/>
          <w:i/>
          <w:noProof/>
        </w:rPr>
        <w:t>Date Range</w:t>
      </w:r>
      <w:r w:rsidR="009634C1">
        <w:rPr>
          <w:rFonts w:ascii="Calibri" w:eastAsia="Times New Roman" w:hAnsi="Calibri" w:cs="Times New Roman"/>
          <w:noProof/>
        </w:rPr>
        <w:t xml:space="preserve"> filter to limit the results to any of the displayed ranges or to specify a start and end date.</w:t>
      </w:r>
    </w:p>
    <w:p w:rsidR="00647A39" w:rsidRPr="009634C1" w:rsidRDefault="00A638EE" w:rsidP="009D57A8">
      <w:pPr>
        <w:rPr>
          <w:rFonts w:ascii="Calibri" w:eastAsia="Times New Roman" w:hAnsi="Calibri" w:cs="Times New Roman"/>
        </w:rPr>
      </w:pPr>
      <w:r>
        <w:rPr>
          <w:noProof/>
        </w:rPr>
        <w:drawing>
          <wp:inline distT="0" distB="0" distL="0" distR="0" wp14:anchorId="2D70991E" wp14:editId="6374483C">
            <wp:extent cx="59436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5540"/>
                    </a:xfrm>
                    <a:prstGeom prst="rect">
                      <a:avLst/>
                    </a:prstGeom>
                  </pic:spPr>
                </pic:pic>
              </a:graphicData>
            </a:graphic>
          </wp:inline>
        </w:drawing>
      </w:r>
    </w:p>
    <w:p w:rsidR="00BB3BBB" w:rsidRDefault="00BB3BBB" w:rsidP="009D57A8">
      <w:r>
        <w:t xml:space="preserve">Use the tools in the bottom left corner of each grid </w:t>
      </w:r>
      <w:r w:rsidR="00647A39">
        <w:t xml:space="preserve">to </w:t>
      </w:r>
      <w:r w:rsidR="00A638EE">
        <w:t xml:space="preserve">reload, </w:t>
      </w:r>
      <w:r w:rsidR="00647A39">
        <w:t>expand, search, or print the list of results.</w:t>
      </w:r>
    </w:p>
    <w:p w:rsidR="00647A39" w:rsidRDefault="00A638EE" w:rsidP="00A638EE">
      <w:pPr>
        <w:jc w:val="center"/>
      </w:pPr>
      <w:r>
        <w:rPr>
          <w:noProof/>
        </w:rPr>
        <w:drawing>
          <wp:inline distT="0" distB="0" distL="0" distR="0" wp14:anchorId="19864572" wp14:editId="6AF45EB9">
            <wp:extent cx="2194560" cy="24140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8444" cy="2418289"/>
                    </a:xfrm>
                    <a:prstGeom prst="rect">
                      <a:avLst/>
                    </a:prstGeom>
                  </pic:spPr>
                </pic:pic>
              </a:graphicData>
            </a:graphic>
          </wp:inline>
        </w:drawing>
      </w:r>
    </w:p>
    <w:p w:rsidR="00647A39" w:rsidRPr="009D57A8" w:rsidRDefault="00647A39" w:rsidP="009D57A8"/>
    <w:sectPr w:rsidR="00647A39" w:rsidRPr="009D57A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37D" w:rsidRDefault="00BB137D" w:rsidP="00C56480">
      <w:r>
        <w:separator/>
      </w:r>
    </w:p>
  </w:endnote>
  <w:endnote w:type="continuationSeparator" w:id="0">
    <w:p w:rsidR="00BB137D" w:rsidRDefault="00BB137D"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8240" behindDoc="0" locked="0" layoutInCell="1" allowOverlap="1" wp14:anchorId="003E8971" wp14:editId="7A2B65F3">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4B23CA">
    <w:pPr>
      <w:pStyle w:val="Footer"/>
      <w:ind w:left="360" w:hanging="360"/>
      <w:jc w:val="both"/>
    </w:pPr>
    <w:r>
      <w:tab/>
    </w:r>
    <w:r>
      <w:tab/>
    </w:r>
    <w:r>
      <w:fldChar w:fldCharType="begin"/>
    </w:r>
    <w:r>
      <w:instrText xml:space="preserve"> PAGE   \* MERGEFORMAT </w:instrText>
    </w:r>
    <w:r>
      <w:fldChar w:fldCharType="separate"/>
    </w:r>
    <w:r w:rsidR="00B7769B">
      <w:rPr>
        <w:noProof/>
      </w:rPr>
      <w:t>1</w:t>
    </w:r>
    <w:r>
      <w:rPr>
        <w:noProof/>
      </w:rPr>
      <w:fldChar w:fldCharType="end"/>
    </w:r>
    <w:r>
      <w:t xml:space="preserve"> </w:t>
    </w:r>
    <w:r>
      <w:tab/>
    </w:r>
    <w:r w:rsidR="00A638EE">
      <w:t>August</w:t>
    </w:r>
    <w:r w:rsidR="00F24C53">
      <w:t xml:space="preserve"> </w:t>
    </w:r>
    <w:r w:rsidR="00A638EE">
      <w:t>2014</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37D" w:rsidRDefault="00BB137D" w:rsidP="00C56480">
      <w:r>
        <w:separator/>
      </w:r>
    </w:p>
  </w:footnote>
  <w:footnote w:type="continuationSeparator" w:id="0">
    <w:p w:rsidR="00BB137D" w:rsidRDefault="00BB137D"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BB3BBB" w:rsidP="00812825">
    <w:pPr>
      <w:pStyle w:val="Header"/>
      <w:pBdr>
        <w:between w:val="single" w:sz="4" w:space="1" w:color="4F81BD"/>
      </w:pBdr>
      <w:spacing w:line="276" w:lineRule="auto"/>
      <w:jc w:val="center"/>
    </w:pPr>
    <w:r>
      <w:t>Patient Portal</w:t>
    </w:r>
    <w:r w:rsidR="002B2D1C">
      <w:t xml:space="preserve"> </w:t>
    </w:r>
    <w:r w:rsidR="00C56480">
      <w:t>User Guide</w:t>
    </w:r>
  </w:p>
  <w:p w:rsidR="00C56480" w:rsidRPr="00C56480" w:rsidRDefault="00C56480" w:rsidP="00C564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480"/>
    <w:rsid w:val="000672F3"/>
    <w:rsid w:val="00151CBB"/>
    <w:rsid w:val="002B2D1C"/>
    <w:rsid w:val="003114E8"/>
    <w:rsid w:val="003A5106"/>
    <w:rsid w:val="0041297A"/>
    <w:rsid w:val="004637F1"/>
    <w:rsid w:val="004B23CA"/>
    <w:rsid w:val="00614514"/>
    <w:rsid w:val="00647A39"/>
    <w:rsid w:val="00744EA1"/>
    <w:rsid w:val="007F11DE"/>
    <w:rsid w:val="00812825"/>
    <w:rsid w:val="008365EF"/>
    <w:rsid w:val="00851590"/>
    <w:rsid w:val="0087273C"/>
    <w:rsid w:val="008B0D74"/>
    <w:rsid w:val="009634C1"/>
    <w:rsid w:val="009D57A8"/>
    <w:rsid w:val="00A638EE"/>
    <w:rsid w:val="00B02434"/>
    <w:rsid w:val="00B1126B"/>
    <w:rsid w:val="00B7769B"/>
    <w:rsid w:val="00BB137D"/>
    <w:rsid w:val="00BB3BBB"/>
    <w:rsid w:val="00BB4920"/>
    <w:rsid w:val="00C1113D"/>
    <w:rsid w:val="00C56480"/>
    <w:rsid w:val="00C61BB4"/>
    <w:rsid w:val="00C62553"/>
    <w:rsid w:val="00D54453"/>
    <w:rsid w:val="00E208CC"/>
    <w:rsid w:val="00F24C53"/>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B8A117-8DD7-4BE9-9F76-D3BCDC25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4E8"/>
    <w:pPr>
      <w:spacing w:after="200" w:line="276" w:lineRule="auto"/>
    </w:pPr>
    <w:rPr>
      <w:rFonts w:eastAsiaTheme="minorEastAsia"/>
    </w:rPr>
  </w:style>
  <w:style w:type="paragraph" w:styleId="Heading1">
    <w:name w:val="heading 1"/>
    <w:basedOn w:val="Normal"/>
    <w:next w:val="Normal"/>
    <w:link w:val="Heading1Char"/>
    <w:uiPriority w:val="9"/>
    <w:qFormat/>
    <w:rsid w:val="003114E8"/>
    <w:pPr>
      <w:keepNext/>
      <w:keepLines/>
      <w:spacing w:before="480" w:after="0"/>
      <w:outlineLvl w:val="0"/>
    </w:pPr>
    <w:rPr>
      <w:rFonts w:ascii="Cambria" w:eastAsiaTheme="majorEastAsia" w:hAnsi="Cambria" w:cstheme="majorBidi"/>
      <w:b/>
      <w:bCs/>
      <w:caps/>
      <w:color w:val="595959" w:themeColor="text1" w:themeTint="A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C56480"/>
  </w:style>
  <w:style w:type="character" w:customStyle="1" w:styleId="Heading1Char">
    <w:name w:val="Heading 1 Char"/>
    <w:basedOn w:val="DefaultParagraphFont"/>
    <w:link w:val="Heading1"/>
    <w:uiPriority w:val="9"/>
    <w:rsid w:val="003114E8"/>
    <w:rPr>
      <w:rFonts w:ascii="Cambria" w:eastAsiaTheme="majorEastAsia" w:hAnsi="Cambria" w:cstheme="majorBidi"/>
      <w:b/>
      <w:bCs/>
      <w:caps/>
      <w:color w:val="595959" w:themeColor="text1" w:themeTint="A6"/>
      <w:sz w:val="28"/>
      <w:szCs w:val="28"/>
    </w:rPr>
  </w:style>
  <w:style w:type="paragraph" w:styleId="BalloonText">
    <w:name w:val="Balloon Text"/>
    <w:basedOn w:val="Normal"/>
    <w:link w:val="BalloonTextChar"/>
    <w:uiPriority w:val="99"/>
    <w:semiHidden/>
    <w:unhideWhenUsed/>
    <w:rsid w:val="0083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5E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Gindlesperger</dc:creator>
  <cp:lastModifiedBy>Christian Gindlesperger</cp:lastModifiedBy>
  <cp:revision>3</cp:revision>
  <dcterms:created xsi:type="dcterms:W3CDTF">2014-09-12T06:23:00Z</dcterms:created>
  <dcterms:modified xsi:type="dcterms:W3CDTF">2014-09-14T20:42:00Z</dcterms:modified>
</cp:coreProperties>
</file>