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3F84" w:rsidRPr="00323F84" w:rsidRDefault="00323F84" w:rsidP="00323F84">
      <w:pPr>
        <w:pStyle w:val="Heading2"/>
        <w:rPr>
          <w:rFonts w:eastAsia="Times New Roman"/>
        </w:rPr>
      </w:pPr>
      <w:bookmarkStart w:id="0" w:name="_Toc346222639"/>
      <w:bookmarkStart w:id="1" w:name="_Toc357111959"/>
      <w:r w:rsidRPr="00323F84">
        <w:rPr>
          <w:rFonts w:eastAsia="Times New Roman"/>
        </w:rPr>
        <w:t>PROVIDER DIRECTORY</w:t>
      </w:r>
      <w:bookmarkEnd w:id="0"/>
      <w:bookmarkEnd w:id="1"/>
    </w:p>
    <w:p w:rsidR="008147C5" w:rsidRDefault="00323F84" w:rsidP="00664D6D">
      <w:pPr>
        <w:spacing w:after="120"/>
        <w:rPr>
          <w:rFonts w:ascii="Calibri" w:eastAsia="Times New Roman" w:hAnsi="Calibri" w:cs="Times New Roman"/>
        </w:rPr>
      </w:pPr>
      <w:r w:rsidRPr="00323F84">
        <w:rPr>
          <w:rFonts w:ascii="Calibri" w:eastAsia="Times New Roman" w:hAnsi="Calibri" w:cs="Times New Roman"/>
        </w:rPr>
        <w:t xml:space="preserve">The Provider Directory allows you to search for providers within your own HIE and, in some cases, other exchanges. </w:t>
      </w:r>
    </w:p>
    <w:p w:rsidR="00323F84" w:rsidRPr="00323F84" w:rsidRDefault="002E7C3D" w:rsidP="002E7C3D">
      <w:pPr>
        <w:pStyle w:val="Heading3"/>
        <w:rPr>
          <w:rFonts w:eastAsia="Times New Roman"/>
        </w:rPr>
      </w:pPr>
      <w:r>
        <w:rPr>
          <w:rFonts w:eastAsia="Times New Roman"/>
        </w:rPr>
        <w:t>Searching the Provider Directory</w:t>
      </w:r>
    </w:p>
    <w:p w:rsidR="00521710" w:rsidRDefault="00521710" w:rsidP="00521710">
      <w:pPr>
        <w:spacing w:after="200" w:line="276" w:lineRule="auto"/>
        <w:rPr>
          <w:rFonts w:ascii="Calibri" w:eastAsia="Times New Roman" w:hAnsi="Calibri" w:cs="Times New Roman"/>
        </w:rPr>
      </w:pPr>
      <w:r w:rsidRPr="00323F84">
        <w:rPr>
          <w:rFonts w:ascii="Calibri" w:eastAsia="Times New Roman" w:hAnsi="Calibri" w:cs="Times New Roman"/>
        </w:rPr>
        <w:t>Multiple options exist for searching the Provider Directory</w:t>
      </w:r>
      <w:r>
        <w:rPr>
          <w:rFonts w:ascii="Calibri" w:eastAsia="Times New Roman" w:hAnsi="Calibri" w:cs="Times New Roman"/>
        </w:rPr>
        <w:t xml:space="preserve">, each found in the </w:t>
      </w:r>
      <w:r w:rsidRPr="006C10DE">
        <w:rPr>
          <w:rFonts w:ascii="Calibri" w:eastAsia="Times New Roman" w:hAnsi="Calibri" w:cs="Times New Roman"/>
          <w:i/>
        </w:rPr>
        <w:t>Criteria</w:t>
      </w:r>
      <w:r>
        <w:rPr>
          <w:rFonts w:ascii="Calibri" w:eastAsia="Times New Roman" w:hAnsi="Calibri" w:cs="Times New Roman"/>
        </w:rPr>
        <w:t xml:space="preserve"> drop-down box of the Provider Directory search page:</w:t>
      </w:r>
    </w:p>
    <w:p w:rsidR="00887CDF" w:rsidRPr="00323F84" w:rsidRDefault="00887CDF" w:rsidP="00323F84">
      <w:pPr>
        <w:spacing w:after="200" w:line="276" w:lineRule="auto"/>
        <w:rPr>
          <w:rFonts w:ascii="Calibri" w:eastAsia="Times New Roman" w:hAnsi="Calibri" w:cs="Times New Roman"/>
        </w:rPr>
      </w:pPr>
      <w:r>
        <w:rPr>
          <w:noProof/>
        </w:rPr>
        <w:drawing>
          <wp:inline distT="0" distB="0" distL="0" distR="0" wp14:anchorId="547778E5" wp14:editId="335728C1">
            <wp:extent cx="2095500" cy="1367674"/>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09485" cy="1376802"/>
                    </a:xfrm>
                    <a:prstGeom prst="rect">
                      <a:avLst/>
                    </a:prstGeom>
                  </pic:spPr>
                </pic:pic>
              </a:graphicData>
            </a:graphic>
          </wp:inline>
        </w:drawing>
      </w:r>
    </w:p>
    <w:p w:rsidR="00323F84" w:rsidRPr="00030A83" w:rsidRDefault="00323F84" w:rsidP="00030A83">
      <w:pPr>
        <w:pStyle w:val="ListParagraph"/>
        <w:numPr>
          <w:ilvl w:val="0"/>
          <w:numId w:val="4"/>
        </w:numPr>
        <w:spacing w:after="200" w:line="276" w:lineRule="auto"/>
        <w:rPr>
          <w:rFonts w:ascii="Calibri" w:eastAsia="Times New Roman" w:hAnsi="Calibri" w:cs="Times New Roman"/>
          <w:noProof/>
        </w:rPr>
      </w:pPr>
      <w:r w:rsidRPr="00030A83">
        <w:rPr>
          <w:rFonts w:ascii="Calibri" w:eastAsia="Times New Roman" w:hAnsi="Calibri" w:cs="Times New Roman"/>
          <w:noProof/>
        </w:rPr>
        <w:t xml:space="preserve">The </w:t>
      </w:r>
      <w:r w:rsidRPr="00030A83">
        <w:rPr>
          <w:rFonts w:ascii="Calibri" w:eastAsia="Times New Roman" w:hAnsi="Calibri" w:cs="Times New Roman"/>
          <w:b/>
          <w:noProof/>
        </w:rPr>
        <w:t>NPI</w:t>
      </w:r>
      <w:r w:rsidRPr="00030A83">
        <w:rPr>
          <w:rFonts w:ascii="Calibri" w:eastAsia="Times New Roman" w:hAnsi="Calibri" w:cs="Times New Roman"/>
          <w:noProof/>
        </w:rPr>
        <w:t xml:space="preserve"> (National Provider Identifier) option requires a 10-digit number from the </w:t>
      </w:r>
      <w:hyperlink r:id="rId8" w:history="1">
        <w:r w:rsidRPr="00030A83">
          <w:rPr>
            <w:rFonts w:ascii="Calibri" w:eastAsia="Times New Roman" w:hAnsi="Calibri" w:cs="Times New Roman"/>
            <w:noProof/>
          </w:rPr>
          <w:t>NPI Registry</w:t>
        </w:r>
      </w:hyperlink>
      <w:r w:rsidRPr="00030A83">
        <w:rPr>
          <w:rFonts w:ascii="Calibri" w:eastAsia="Times New Roman" w:hAnsi="Calibri" w:cs="Times New Roman"/>
          <w:noProof/>
        </w:rPr>
        <w:t xml:space="preserve"> available from CMS.</w:t>
      </w:r>
    </w:p>
    <w:p w:rsidR="00323F84" w:rsidRPr="00030A83" w:rsidRDefault="002E7C3D" w:rsidP="00030A83">
      <w:pPr>
        <w:pStyle w:val="ListParagraph"/>
        <w:numPr>
          <w:ilvl w:val="0"/>
          <w:numId w:val="4"/>
        </w:numPr>
        <w:spacing w:after="200" w:line="276" w:lineRule="auto"/>
        <w:rPr>
          <w:rFonts w:ascii="Calibri" w:eastAsia="Times New Roman" w:hAnsi="Calibri" w:cs="Times New Roman"/>
        </w:rPr>
      </w:pPr>
      <w:r w:rsidRPr="00030A83">
        <w:rPr>
          <w:rFonts w:ascii="Calibri" w:eastAsia="Times New Roman" w:hAnsi="Calibri" w:cs="Times New Roman"/>
        </w:rPr>
        <w:t>Selecting</w:t>
      </w:r>
      <w:r w:rsidRPr="00030A83">
        <w:rPr>
          <w:rFonts w:ascii="Calibri" w:eastAsia="Times New Roman" w:hAnsi="Calibri" w:cs="Times New Roman"/>
          <w:b/>
        </w:rPr>
        <w:t xml:space="preserve"> </w:t>
      </w:r>
      <w:r w:rsidR="00323F84" w:rsidRPr="00030A83">
        <w:rPr>
          <w:rFonts w:ascii="Calibri" w:eastAsia="Times New Roman" w:hAnsi="Calibri" w:cs="Times New Roman"/>
          <w:b/>
        </w:rPr>
        <w:t>Individual</w:t>
      </w:r>
      <w:r w:rsidR="00323F84" w:rsidRPr="00030A83">
        <w:rPr>
          <w:rFonts w:ascii="Calibri" w:eastAsia="Times New Roman" w:hAnsi="Calibri" w:cs="Times New Roman"/>
        </w:rPr>
        <w:t xml:space="preserve"> searches for </w:t>
      </w:r>
      <w:r w:rsidR="00030A83" w:rsidRPr="00030A83">
        <w:rPr>
          <w:rFonts w:ascii="Calibri" w:eastAsia="Times New Roman" w:hAnsi="Calibri" w:cs="Times New Roman"/>
        </w:rPr>
        <w:t>a clinician by name or location.</w:t>
      </w:r>
    </w:p>
    <w:p w:rsidR="00323F84" w:rsidRPr="00030A83" w:rsidRDefault="003A5E94" w:rsidP="00030A83">
      <w:pPr>
        <w:pStyle w:val="ListParagraph"/>
        <w:numPr>
          <w:ilvl w:val="0"/>
          <w:numId w:val="4"/>
        </w:numPr>
        <w:spacing w:after="200" w:line="276" w:lineRule="auto"/>
        <w:rPr>
          <w:rFonts w:ascii="Calibri" w:eastAsia="Times New Roman" w:hAnsi="Calibri" w:cs="Times New Roman"/>
        </w:rPr>
      </w:pPr>
      <w:r w:rsidRPr="00030A83">
        <w:rPr>
          <w:rFonts w:ascii="Calibri" w:eastAsia="Times New Roman" w:hAnsi="Calibri" w:cs="Times New Roman"/>
        </w:rPr>
        <w:t>Selecting</w:t>
      </w:r>
      <w:r w:rsidRPr="00030A83">
        <w:rPr>
          <w:rFonts w:ascii="Calibri" w:eastAsia="Times New Roman" w:hAnsi="Calibri" w:cs="Times New Roman"/>
          <w:b/>
        </w:rPr>
        <w:t xml:space="preserve"> </w:t>
      </w:r>
      <w:r w:rsidR="00323F84" w:rsidRPr="00030A83">
        <w:rPr>
          <w:rFonts w:ascii="Calibri" w:eastAsia="Times New Roman" w:hAnsi="Calibri" w:cs="Times New Roman"/>
          <w:b/>
        </w:rPr>
        <w:t>Organizational</w:t>
      </w:r>
      <w:r w:rsidR="00323F84" w:rsidRPr="00030A83">
        <w:rPr>
          <w:rFonts w:ascii="Calibri" w:eastAsia="Times New Roman" w:hAnsi="Calibri" w:cs="Times New Roman"/>
        </w:rPr>
        <w:t xml:space="preserve"> searches for a hospital, clinic, or other organization by name or location.</w:t>
      </w:r>
    </w:p>
    <w:p w:rsidR="00323F84" w:rsidRPr="00030A83" w:rsidRDefault="003A5E94" w:rsidP="00030A83">
      <w:pPr>
        <w:pStyle w:val="ListParagraph"/>
        <w:numPr>
          <w:ilvl w:val="0"/>
          <w:numId w:val="4"/>
        </w:numPr>
        <w:spacing w:after="200" w:line="276" w:lineRule="auto"/>
        <w:rPr>
          <w:rFonts w:ascii="Calibri" w:eastAsia="Times New Roman" w:hAnsi="Calibri" w:cs="Times New Roman"/>
        </w:rPr>
      </w:pPr>
      <w:r w:rsidRPr="00030A83">
        <w:rPr>
          <w:rFonts w:ascii="Calibri" w:eastAsia="Times New Roman" w:hAnsi="Calibri" w:cs="Times New Roman"/>
        </w:rPr>
        <w:t xml:space="preserve">Selecting </w:t>
      </w:r>
      <w:r w:rsidR="00323F84" w:rsidRPr="00030A83">
        <w:rPr>
          <w:rFonts w:ascii="Calibri" w:eastAsia="Times New Roman" w:hAnsi="Calibri" w:cs="Times New Roman"/>
          <w:b/>
        </w:rPr>
        <w:t>Advanced</w:t>
      </w:r>
      <w:r w:rsidR="00323F84" w:rsidRPr="00030A83">
        <w:rPr>
          <w:rFonts w:ascii="Calibri" w:eastAsia="Times New Roman" w:hAnsi="Calibri" w:cs="Times New Roman"/>
        </w:rPr>
        <w:t xml:space="preserve"> provides</w:t>
      </w:r>
      <w:r w:rsidR="00030A83">
        <w:rPr>
          <w:rFonts w:ascii="Calibri" w:eastAsia="Times New Roman" w:hAnsi="Calibri" w:cs="Times New Roman"/>
        </w:rPr>
        <w:t xml:space="preserve"> a number of</w:t>
      </w:r>
      <w:r w:rsidR="00323F84" w:rsidRPr="00030A83">
        <w:rPr>
          <w:rFonts w:ascii="Calibri" w:eastAsia="Times New Roman" w:hAnsi="Calibri" w:cs="Times New Roman"/>
        </w:rPr>
        <w:t xml:space="preserve"> additional search options, and allows search by </w:t>
      </w:r>
      <w:r w:rsidR="00323F84" w:rsidRPr="00030A83">
        <w:rPr>
          <w:rFonts w:ascii="Calibri" w:eastAsia="Times New Roman" w:hAnsi="Calibri" w:cs="Times New Roman"/>
          <w:b/>
        </w:rPr>
        <w:t>Individual</w:t>
      </w:r>
      <w:r w:rsidR="00323F84" w:rsidRPr="00030A83">
        <w:rPr>
          <w:rFonts w:ascii="Calibri" w:eastAsia="Times New Roman" w:hAnsi="Calibri" w:cs="Times New Roman"/>
        </w:rPr>
        <w:t xml:space="preserve"> or </w:t>
      </w:r>
      <w:r w:rsidR="00323F84" w:rsidRPr="00030A83">
        <w:rPr>
          <w:rFonts w:ascii="Calibri" w:eastAsia="Times New Roman" w:hAnsi="Calibri" w:cs="Times New Roman"/>
          <w:b/>
        </w:rPr>
        <w:t>Organization</w:t>
      </w:r>
      <w:r w:rsidR="00030A83">
        <w:rPr>
          <w:rFonts w:ascii="Calibri" w:eastAsia="Times New Roman" w:hAnsi="Calibri" w:cs="Times New Roman"/>
          <w:b/>
        </w:rPr>
        <w:t xml:space="preserve"> </w:t>
      </w:r>
      <w:r w:rsidR="00030A83" w:rsidRPr="00030A83">
        <w:rPr>
          <w:rFonts w:ascii="Calibri" w:eastAsia="Times New Roman" w:hAnsi="Calibri" w:cs="Times New Roman"/>
        </w:rPr>
        <w:t>provider types</w:t>
      </w:r>
      <w:r w:rsidR="00323F84" w:rsidRPr="00030A83">
        <w:rPr>
          <w:rFonts w:ascii="Calibri" w:eastAsia="Times New Roman" w:hAnsi="Calibri" w:cs="Times New Roman"/>
        </w:rPr>
        <w:t>.</w:t>
      </w:r>
    </w:p>
    <w:p w:rsidR="00323F84" w:rsidRPr="00323F84" w:rsidRDefault="00323F84" w:rsidP="00323F84">
      <w:pPr>
        <w:spacing w:after="200" w:line="276" w:lineRule="auto"/>
        <w:rPr>
          <w:rFonts w:ascii="Calibri" w:eastAsia="Times New Roman" w:hAnsi="Calibri" w:cs="Times New Roman"/>
        </w:rPr>
      </w:pPr>
      <w:r w:rsidRPr="00323F84">
        <w:rPr>
          <w:rFonts w:ascii="Calibri" w:eastAsia="Times New Roman" w:hAnsi="Calibri" w:cs="Times New Roman"/>
        </w:rPr>
        <w:t xml:space="preserve">To make a search more specific, you may choose </w:t>
      </w:r>
      <w:r w:rsidRPr="00323F84">
        <w:rPr>
          <w:rFonts w:ascii="Calibri" w:eastAsia="Times New Roman" w:hAnsi="Calibri" w:cs="Times New Roman"/>
          <w:b/>
        </w:rPr>
        <w:t>Combined</w:t>
      </w:r>
      <w:r w:rsidRPr="00323F84">
        <w:rPr>
          <w:rFonts w:ascii="Calibri" w:eastAsia="Times New Roman" w:hAnsi="Calibri" w:cs="Times New Roman"/>
        </w:rPr>
        <w:t xml:space="preserve">, </w:t>
      </w:r>
      <w:r w:rsidRPr="00323F84">
        <w:rPr>
          <w:rFonts w:ascii="Calibri" w:eastAsia="Times New Roman" w:hAnsi="Calibri" w:cs="Times New Roman"/>
          <w:b/>
        </w:rPr>
        <w:t>Local</w:t>
      </w:r>
      <w:r w:rsidRPr="00323F84">
        <w:rPr>
          <w:rFonts w:ascii="Calibri" w:eastAsia="Times New Roman" w:hAnsi="Calibri" w:cs="Times New Roman"/>
        </w:rPr>
        <w:t xml:space="preserve">, or </w:t>
      </w:r>
      <w:r w:rsidRPr="00323F84">
        <w:rPr>
          <w:rFonts w:ascii="Calibri" w:eastAsia="Times New Roman" w:hAnsi="Calibri" w:cs="Times New Roman"/>
          <w:b/>
        </w:rPr>
        <w:t>Global</w:t>
      </w:r>
      <w:r w:rsidR="003A5E94">
        <w:rPr>
          <w:rFonts w:ascii="Calibri" w:eastAsia="Times New Roman" w:hAnsi="Calibri" w:cs="Times New Roman"/>
        </w:rPr>
        <w:t xml:space="preserve"> </w:t>
      </w:r>
      <w:r w:rsidR="00353169">
        <w:rPr>
          <w:rFonts w:ascii="Calibri" w:eastAsia="Times New Roman" w:hAnsi="Calibri" w:cs="Times New Roman"/>
        </w:rPr>
        <w:t xml:space="preserve">from the </w:t>
      </w:r>
      <w:r w:rsidR="00353169" w:rsidRPr="00353169">
        <w:rPr>
          <w:rFonts w:ascii="Calibri" w:eastAsia="Times New Roman" w:hAnsi="Calibri" w:cs="Times New Roman"/>
          <w:i/>
        </w:rPr>
        <w:t>N</w:t>
      </w:r>
      <w:r w:rsidRPr="00353169">
        <w:rPr>
          <w:rFonts w:ascii="Calibri" w:eastAsia="Times New Roman" w:hAnsi="Calibri" w:cs="Times New Roman"/>
          <w:i/>
        </w:rPr>
        <w:t>amespace</w:t>
      </w:r>
      <w:r w:rsidR="00353169">
        <w:rPr>
          <w:rFonts w:ascii="Calibri" w:eastAsia="Times New Roman" w:hAnsi="Calibri" w:cs="Times New Roman"/>
        </w:rPr>
        <w:t xml:space="preserve"> drop-down</w:t>
      </w:r>
      <w:r w:rsidRPr="00323F84">
        <w:rPr>
          <w:rFonts w:ascii="Calibri" w:eastAsia="Times New Roman" w:hAnsi="Calibri" w:cs="Times New Roman"/>
        </w:rPr>
        <w:t>. I</w:t>
      </w:r>
      <w:r w:rsidR="003A5E94">
        <w:rPr>
          <w:rFonts w:ascii="Calibri" w:eastAsia="Times New Roman" w:hAnsi="Calibri" w:cs="Times New Roman"/>
        </w:rPr>
        <w:t xml:space="preserve">n most cases, you will use the </w:t>
      </w:r>
      <w:proofErr w:type="gramStart"/>
      <w:r w:rsidR="003A5E94" w:rsidRPr="00353169">
        <w:rPr>
          <w:rFonts w:ascii="Calibri" w:eastAsia="Times New Roman" w:hAnsi="Calibri" w:cs="Times New Roman"/>
        </w:rPr>
        <w:t>Combined</w:t>
      </w:r>
      <w:proofErr w:type="gramEnd"/>
      <w:r w:rsidRPr="00323F84">
        <w:rPr>
          <w:rFonts w:ascii="Calibri" w:eastAsia="Times New Roman" w:hAnsi="Calibri" w:cs="Times New Roman"/>
        </w:rPr>
        <w:t xml:space="preserve"> </w:t>
      </w:r>
      <w:r w:rsidR="003A5E94">
        <w:rPr>
          <w:rFonts w:ascii="Calibri" w:eastAsia="Times New Roman" w:hAnsi="Calibri" w:cs="Times New Roman"/>
        </w:rPr>
        <w:t>n</w:t>
      </w:r>
      <w:r w:rsidRPr="00323F84">
        <w:rPr>
          <w:rFonts w:ascii="Calibri" w:eastAsia="Times New Roman" w:hAnsi="Calibri" w:cs="Times New Roman"/>
        </w:rPr>
        <w:t xml:space="preserve">amespace filter. </w:t>
      </w:r>
      <w:r w:rsidR="003A5E94">
        <w:rPr>
          <w:rFonts w:ascii="Calibri" w:eastAsia="Times New Roman" w:hAnsi="Calibri" w:cs="Times New Roman"/>
        </w:rPr>
        <w:t xml:space="preserve">The </w:t>
      </w:r>
      <w:r w:rsidRPr="00353169">
        <w:rPr>
          <w:rFonts w:ascii="Calibri" w:eastAsia="Times New Roman" w:hAnsi="Calibri" w:cs="Times New Roman"/>
        </w:rPr>
        <w:t>Global</w:t>
      </w:r>
      <w:r w:rsidRPr="00323F84">
        <w:rPr>
          <w:rFonts w:ascii="Calibri" w:eastAsia="Times New Roman" w:hAnsi="Calibri" w:cs="Times New Roman"/>
        </w:rPr>
        <w:t xml:space="preserve"> </w:t>
      </w:r>
      <w:r w:rsidR="003A5E94">
        <w:rPr>
          <w:rFonts w:ascii="Calibri" w:eastAsia="Times New Roman" w:hAnsi="Calibri" w:cs="Times New Roman"/>
        </w:rPr>
        <w:t>n</w:t>
      </w:r>
      <w:r w:rsidRPr="00323F84">
        <w:rPr>
          <w:rFonts w:ascii="Calibri" w:eastAsia="Times New Roman" w:hAnsi="Calibri" w:cs="Times New Roman"/>
        </w:rPr>
        <w:t xml:space="preserve">amespace will search the Provider Directory for entries from the NPI Registry. </w:t>
      </w:r>
      <w:r w:rsidR="003A5E94">
        <w:rPr>
          <w:rFonts w:ascii="Calibri" w:eastAsia="Times New Roman" w:hAnsi="Calibri" w:cs="Times New Roman"/>
        </w:rPr>
        <w:t xml:space="preserve">The </w:t>
      </w:r>
      <w:r w:rsidRPr="00353169">
        <w:rPr>
          <w:rFonts w:ascii="Calibri" w:eastAsia="Times New Roman" w:hAnsi="Calibri" w:cs="Times New Roman"/>
        </w:rPr>
        <w:t>Local</w:t>
      </w:r>
      <w:r w:rsidRPr="00323F84">
        <w:rPr>
          <w:rFonts w:ascii="Calibri" w:eastAsia="Times New Roman" w:hAnsi="Calibri" w:cs="Times New Roman"/>
        </w:rPr>
        <w:t xml:space="preserve"> </w:t>
      </w:r>
      <w:r w:rsidR="003A5E94">
        <w:rPr>
          <w:rFonts w:ascii="Calibri" w:eastAsia="Times New Roman" w:hAnsi="Calibri" w:cs="Times New Roman"/>
        </w:rPr>
        <w:t>n</w:t>
      </w:r>
      <w:r w:rsidRPr="00323F84">
        <w:rPr>
          <w:rFonts w:ascii="Calibri" w:eastAsia="Times New Roman" w:hAnsi="Calibri" w:cs="Times New Roman"/>
        </w:rPr>
        <w:t>amespace searches for manual entries to your HIE’s Provider Directory.</w:t>
      </w:r>
      <w:bookmarkStart w:id="2" w:name="_GoBack"/>
      <w:bookmarkEnd w:id="2"/>
    </w:p>
    <w:p w:rsidR="00C64F47" w:rsidRDefault="00030A83" w:rsidP="00323F84">
      <w:r>
        <w:rPr>
          <w:noProof/>
        </w:rPr>
        <w:drawing>
          <wp:inline distT="0" distB="0" distL="0" distR="0" wp14:anchorId="3B41DC75" wp14:editId="3E5CFC50">
            <wp:extent cx="2571750" cy="17049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71750" cy="1704975"/>
                    </a:xfrm>
                    <a:prstGeom prst="rect">
                      <a:avLst/>
                    </a:prstGeom>
                  </pic:spPr>
                </pic:pic>
              </a:graphicData>
            </a:graphic>
          </wp:inline>
        </w:drawing>
      </w:r>
    </w:p>
    <w:p w:rsidR="00196679" w:rsidRDefault="00196679" w:rsidP="00196679">
      <w:pPr>
        <w:pStyle w:val="Heading3"/>
        <w:rPr>
          <w:rFonts w:eastAsia="Times New Roman"/>
        </w:rPr>
      </w:pPr>
      <w:r>
        <w:rPr>
          <w:rFonts w:eastAsia="Times New Roman"/>
        </w:rPr>
        <w:t xml:space="preserve">Viewing a Provider </w:t>
      </w:r>
    </w:p>
    <w:p w:rsidR="00887929" w:rsidRDefault="00196679" w:rsidP="00196679">
      <w:r>
        <w:t xml:space="preserve">Once a provider is selected, the </w:t>
      </w:r>
      <w:r w:rsidRPr="00887929">
        <w:rPr>
          <w:i/>
        </w:rPr>
        <w:t>Provider Detail</w:t>
      </w:r>
      <w:r>
        <w:t xml:space="preserve"> screen appears</w:t>
      </w:r>
      <w:r w:rsidR="001A2684">
        <w:t xml:space="preserve">, showing the </w:t>
      </w:r>
      <w:r w:rsidR="001A2684" w:rsidRPr="002F1E3C">
        <w:rPr>
          <w:b/>
        </w:rPr>
        <w:t>View Provider</w:t>
      </w:r>
      <w:r w:rsidR="001A2684">
        <w:t xml:space="preserve"> tab</w:t>
      </w:r>
      <w:r>
        <w:t xml:space="preserve">. </w:t>
      </w:r>
    </w:p>
    <w:p w:rsidR="005B5DB8" w:rsidRDefault="005B5DB8" w:rsidP="005B5DB8"/>
    <w:p w:rsidR="00887929" w:rsidRDefault="00887929" w:rsidP="005B5DB8">
      <w:r>
        <w:t xml:space="preserve">On this screen, information about the provider is divided into </w:t>
      </w:r>
      <w:r w:rsidR="001A2684">
        <w:t>four sections</w:t>
      </w:r>
      <w:r>
        <w:t>:</w:t>
      </w:r>
    </w:p>
    <w:p w:rsidR="00887929" w:rsidRDefault="00887929" w:rsidP="00084703">
      <w:pPr>
        <w:pStyle w:val="ListParagraph"/>
        <w:numPr>
          <w:ilvl w:val="0"/>
          <w:numId w:val="5"/>
        </w:numPr>
        <w:spacing w:after="120"/>
        <w:contextualSpacing w:val="0"/>
      </w:pPr>
      <w:r w:rsidRPr="00887929">
        <w:rPr>
          <w:i/>
        </w:rPr>
        <w:lastRenderedPageBreak/>
        <w:t>Basic Provider Information</w:t>
      </w:r>
      <w:r>
        <w:t>: includes basic demographics, contact information, and NPI information</w:t>
      </w:r>
      <w:r w:rsidR="005B5DB8">
        <w:t>.</w:t>
      </w:r>
    </w:p>
    <w:p w:rsidR="005B5DB8" w:rsidRDefault="005B5DB8" w:rsidP="005B5DB8">
      <w:pPr>
        <w:pStyle w:val="ListParagraph"/>
        <w:spacing w:after="120"/>
        <w:contextualSpacing w:val="0"/>
      </w:pPr>
      <w:r>
        <w:rPr>
          <w:noProof/>
        </w:rPr>
        <w:drawing>
          <wp:inline distT="0" distB="0" distL="0" distR="0" wp14:anchorId="3483D60B" wp14:editId="40B72C74">
            <wp:extent cx="5448300" cy="2983177"/>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65829" cy="2992775"/>
                    </a:xfrm>
                    <a:prstGeom prst="rect">
                      <a:avLst/>
                    </a:prstGeom>
                  </pic:spPr>
                </pic:pic>
              </a:graphicData>
            </a:graphic>
          </wp:inline>
        </w:drawing>
      </w:r>
    </w:p>
    <w:p w:rsidR="00084703" w:rsidRDefault="00887929" w:rsidP="00084703">
      <w:pPr>
        <w:pStyle w:val="ListParagraph"/>
        <w:numPr>
          <w:ilvl w:val="0"/>
          <w:numId w:val="5"/>
        </w:numPr>
        <w:spacing w:after="120"/>
        <w:contextualSpacing w:val="0"/>
      </w:pPr>
      <w:r>
        <w:rPr>
          <w:i/>
        </w:rPr>
        <w:t>Provider Licenses</w:t>
      </w:r>
      <w:r w:rsidRPr="00887929">
        <w:t>:</w:t>
      </w:r>
      <w:r>
        <w:t xml:space="preserve"> includes information about specific medical li</w:t>
      </w:r>
      <w:r w:rsidR="00085BB4">
        <w:t xml:space="preserve">censes </w:t>
      </w:r>
      <w:r w:rsidR="00865CFE">
        <w:t xml:space="preserve">that </w:t>
      </w:r>
      <w:r w:rsidR="00085BB4">
        <w:t>the provider has been granted,</w:t>
      </w:r>
      <w:r w:rsidR="00865CFE">
        <w:t xml:space="preserve"> </w:t>
      </w:r>
      <w:r w:rsidR="00085BB4">
        <w:t>the associated taxonomy code for each license.</w:t>
      </w:r>
    </w:p>
    <w:p w:rsidR="001A2684" w:rsidRDefault="001A2684" w:rsidP="00084703">
      <w:pPr>
        <w:pStyle w:val="ListParagraph"/>
        <w:spacing w:after="120"/>
        <w:contextualSpacing w:val="0"/>
      </w:pPr>
      <w:r>
        <w:rPr>
          <w:noProof/>
        </w:rPr>
        <w:drawing>
          <wp:inline distT="0" distB="0" distL="0" distR="0" wp14:anchorId="05154FA6" wp14:editId="6CC534F3">
            <wp:extent cx="5463540" cy="1102047"/>
            <wp:effectExtent l="0" t="0" r="381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78050" cy="1104974"/>
                    </a:xfrm>
                    <a:prstGeom prst="rect">
                      <a:avLst/>
                    </a:prstGeom>
                  </pic:spPr>
                </pic:pic>
              </a:graphicData>
            </a:graphic>
          </wp:inline>
        </w:drawing>
      </w:r>
    </w:p>
    <w:p w:rsidR="002F1E3C" w:rsidRPr="002F1E3C" w:rsidRDefault="00BD2C38" w:rsidP="00084703">
      <w:pPr>
        <w:pStyle w:val="ListParagraph"/>
        <w:numPr>
          <w:ilvl w:val="0"/>
          <w:numId w:val="5"/>
        </w:numPr>
        <w:spacing w:after="120"/>
        <w:contextualSpacing w:val="0"/>
        <w:rPr>
          <w:i/>
        </w:rPr>
      </w:pPr>
      <w:r w:rsidRPr="00BD2C38">
        <w:rPr>
          <w:i/>
        </w:rPr>
        <w:t>Other Provider Identifiers:</w:t>
      </w:r>
      <w:r>
        <w:t xml:space="preserve"> </w:t>
      </w:r>
      <w:r w:rsidR="00084703">
        <w:t>list</w:t>
      </w:r>
      <w:r w:rsidR="00865CFE">
        <w:t>s</w:t>
      </w:r>
      <w:r w:rsidR="00084703">
        <w:t xml:space="preserve"> other sources of licenses or credentials. </w:t>
      </w:r>
    </w:p>
    <w:p w:rsidR="00BD2C38" w:rsidRPr="002F1E3C" w:rsidRDefault="002F1E3C" w:rsidP="002F1E3C">
      <w:pPr>
        <w:spacing w:after="120"/>
        <w:ind w:left="720"/>
        <w:rPr>
          <w:i/>
        </w:rPr>
      </w:pPr>
      <w:r>
        <w:t xml:space="preserve">   N</w:t>
      </w:r>
      <w:r w:rsidR="00084703">
        <w:t>ote</w:t>
      </w:r>
      <w:r>
        <w:t>:</w:t>
      </w:r>
      <w:r w:rsidR="00084703">
        <w:t xml:space="preserve"> this section will not appear if other provider identifiers have </w:t>
      </w:r>
      <w:r w:rsidR="00865CFE">
        <w:t xml:space="preserve">not </w:t>
      </w:r>
      <w:r w:rsidR="00084703">
        <w:t>been added.</w:t>
      </w:r>
    </w:p>
    <w:p w:rsidR="00084703" w:rsidRPr="00BD2C38" w:rsidRDefault="00084703" w:rsidP="00084703">
      <w:pPr>
        <w:pStyle w:val="ListParagraph"/>
        <w:spacing w:after="120"/>
        <w:contextualSpacing w:val="0"/>
        <w:rPr>
          <w:i/>
        </w:rPr>
      </w:pPr>
      <w:r>
        <w:rPr>
          <w:noProof/>
        </w:rPr>
        <w:drawing>
          <wp:inline distT="0" distB="0" distL="0" distR="0" wp14:anchorId="007F624D" wp14:editId="71FA757A">
            <wp:extent cx="5463540" cy="776920"/>
            <wp:effectExtent l="0" t="0" r="381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35861" cy="787204"/>
                    </a:xfrm>
                    <a:prstGeom prst="rect">
                      <a:avLst/>
                    </a:prstGeom>
                  </pic:spPr>
                </pic:pic>
              </a:graphicData>
            </a:graphic>
          </wp:inline>
        </w:drawing>
      </w:r>
    </w:p>
    <w:p w:rsidR="00085BB4" w:rsidRDefault="00085BB4" w:rsidP="00084703">
      <w:pPr>
        <w:pStyle w:val="ListParagraph"/>
        <w:numPr>
          <w:ilvl w:val="0"/>
          <w:numId w:val="5"/>
        </w:numPr>
        <w:spacing w:after="120"/>
        <w:contextualSpacing w:val="0"/>
      </w:pPr>
      <w:r>
        <w:rPr>
          <w:i/>
        </w:rPr>
        <w:t>Data Sources</w:t>
      </w:r>
      <w:r w:rsidRPr="00085BB4">
        <w:t>:</w:t>
      </w:r>
      <w:r>
        <w:t xml:space="preserve"> specifies </w:t>
      </w:r>
      <w:r w:rsidR="00287F17">
        <w:t>the primary source of</w:t>
      </w:r>
      <w:r>
        <w:t xml:space="preserve"> the information </w:t>
      </w:r>
      <w:r w:rsidR="00287F17">
        <w:t xml:space="preserve">displayed </w:t>
      </w:r>
      <w:r w:rsidR="002F1E3C">
        <w:t xml:space="preserve">on the </w:t>
      </w:r>
      <w:r w:rsidR="002F1E3C" w:rsidRPr="002F1E3C">
        <w:rPr>
          <w:b/>
        </w:rPr>
        <w:t>View Provider</w:t>
      </w:r>
      <w:r w:rsidR="002F1E3C">
        <w:t xml:space="preserve"> tab</w:t>
      </w:r>
      <w:r w:rsidR="00287F17">
        <w:t xml:space="preserve">. </w:t>
      </w:r>
    </w:p>
    <w:p w:rsidR="001A2684" w:rsidRDefault="001A2684" w:rsidP="00865CFE">
      <w:pPr>
        <w:spacing w:after="120"/>
        <w:ind w:left="720"/>
      </w:pPr>
      <w:r>
        <w:rPr>
          <w:noProof/>
        </w:rPr>
        <w:drawing>
          <wp:inline distT="0" distB="0" distL="0" distR="0" wp14:anchorId="7C7FFD95" wp14:editId="0E3C2E59">
            <wp:extent cx="5463540" cy="674771"/>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60371" cy="686730"/>
                    </a:xfrm>
                    <a:prstGeom prst="rect">
                      <a:avLst/>
                    </a:prstGeom>
                  </pic:spPr>
                </pic:pic>
              </a:graphicData>
            </a:graphic>
          </wp:inline>
        </w:drawing>
      </w:r>
    </w:p>
    <w:p w:rsidR="00085BB4" w:rsidRDefault="00085BB4" w:rsidP="00084703">
      <w:pPr>
        <w:pStyle w:val="ListParagraph"/>
        <w:numPr>
          <w:ilvl w:val="0"/>
          <w:numId w:val="5"/>
        </w:numPr>
        <w:spacing w:after="120"/>
        <w:contextualSpacing w:val="0"/>
      </w:pPr>
      <w:r>
        <w:rPr>
          <w:i/>
        </w:rPr>
        <w:t>Other Sources</w:t>
      </w:r>
      <w:r w:rsidRPr="00085BB4">
        <w:t>:</w:t>
      </w:r>
      <w:r>
        <w:t xml:space="preserve"> </w:t>
      </w:r>
      <w:r w:rsidR="00552ADF">
        <w:t>lists</w:t>
      </w:r>
      <w:r>
        <w:t xml:space="preserve"> </w:t>
      </w:r>
      <w:r w:rsidR="002F1E3C">
        <w:t>any additional</w:t>
      </w:r>
      <w:r>
        <w:t xml:space="preserve"> sources of information </w:t>
      </w:r>
      <w:r w:rsidR="00552ADF">
        <w:t>available for</w:t>
      </w:r>
      <w:r>
        <w:t xml:space="preserve"> this provider.</w:t>
      </w:r>
    </w:p>
    <w:p w:rsidR="001A2684" w:rsidRDefault="001A2684" w:rsidP="006416B7">
      <w:pPr>
        <w:spacing w:after="120"/>
        <w:ind w:left="720"/>
      </w:pPr>
      <w:r>
        <w:rPr>
          <w:noProof/>
        </w:rPr>
        <w:lastRenderedPageBreak/>
        <w:drawing>
          <wp:inline distT="0" distB="0" distL="0" distR="0" wp14:anchorId="6313AD99" wp14:editId="02F0A1A8">
            <wp:extent cx="5455920" cy="107078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9508" cy="1077375"/>
                    </a:xfrm>
                    <a:prstGeom prst="rect">
                      <a:avLst/>
                    </a:prstGeom>
                  </pic:spPr>
                </pic:pic>
              </a:graphicData>
            </a:graphic>
          </wp:inline>
        </w:drawing>
      </w:r>
    </w:p>
    <w:p w:rsidR="00287F17" w:rsidRDefault="00287F17" w:rsidP="00287F17">
      <w:pPr>
        <w:spacing w:after="120"/>
      </w:pPr>
      <w:r>
        <w:t xml:space="preserve">Note: other data sources can be viewed as the primary data source on the </w:t>
      </w:r>
      <w:r w:rsidRPr="004F217E">
        <w:rPr>
          <w:b/>
        </w:rPr>
        <w:t>View Provider</w:t>
      </w:r>
      <w:r>
        <w:t xml:space="preserve"> tab. To do so, click </w:t>
      </w:r>
      <w:r w:rsidRPr="004F217E">
        <w:rPr>
          <w:b/>
        </w:rPr>
        <w:t>expand</w:t>
      </w:r>
      <w:r>
        <w:rPr>
          <w:b/>
        </w:rPr>
        <w:t xml:space="preserve"> </w:t>
      </w:r>
      <w:r w:rsidRPr="004F217E">
        <w:t>on the</w:t>
      </w:r>
      <w:r>
        <w:rPr>
          <w:b/>
        </w:rPr>
        <w:t xml:space="preserve"> </w:t>
      </w:r>
      <w:r w:rsidR="00353169">
        <w:t>Provider Directory</w:t>
      </w:r>
      <w:r>
        <w:t xml:space="preserve"> search results, and then choose a listed data source. </w:t>
      </w:r>
    </w:p>
    <w:p w:rsidR="00287F17" w:rsidRDefault="00287F17" w:rsidP="00552ADF">
      <w:pPr>
        <w:spacing w:after="120"/>
        <w:ind w:left="720"/>
      </w:pPr>
      <w:r>
        <w:rPr>
          <w:noProof/>
        </w:rPr>
        <w:drawing>
          <wp:inline distT="0" distB="0" distL="0" distR="0" wp14:anchorId="39C028C6" wp14:editId="1BE90AA0">
            <wp:extent cx="5093342" cy="23622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01507" cy="2365987"/>
                    </a:xfrm>
                    <a:prstGeom prst="rect">
                      <a:avLst/>
                    </a:prstGeom>
                  </pic:spPr>
                </pic:pic>
              </a:graphicData>
            </a:graphic>
          </wp:inline>
        </w:drawing>
      </w:r>
    </w:p>
    <w:p w:rsidR="006033A4" w:rsidRDefault="006033A4" w:rsidP="00085BB4">
      <w:pPr>
        <w:pStyle w:val="Heading3"/>
        <w:rPr>
          <w:rFonts w:eastAsia="Times New Roman"/>
        </w:rPr>
      </w:pPr>
      <w:r>
        <w:rPr>
          <w:rFonts w:eastAsia="Times New Roman"/>
        </w:rPr>
        <w:t>Adding a Provider</w:t>
      </w:r>
    </w:p>
    <w:p w:rsidR="006033A4" w:rsidRDefault="006033A4" w:rsidP="006033A4">
      <w:pPr>
        <w:spacing w:after="120"/>
      </w:pPr>
      <w:r>
        <w:t xml:space="preserve">To add a provider to the local </w:t>
      </w:r>
      <w:r w:rsidR="00353169">
        <w:t>Provider Directory</w:t>
      </w:r>
      <w:r>
        <w:t xml:space="preserve">, click the </w:t>
      </w:r>
      <w:r w:rsidRPr="006033A4">
        <w:rPr>
          <w:b/>
        </w:rPr>
        <w:t xml:space="preserve">Add </w:t>
      </w:r>
      <w:r>
        <w:rPr>
          <w:b/>
        </w:rPr>
        <w:t>P</w:t>
      </w:r>
      <w:r w:rsidRPr="006033A4">
        <w:rPr>
          <w:b/>
        </w:rPr>
        <w:t>roviders</w:t>
      </w:r>
      <w:r>
        <w:t xml:space="preserve"> button at the bottom of the </w:t>
      </w:r>
      <w:r w:rsidRPr="001C6A31">
        <w:rPr>
          <w:i/>
        </w:rPr>
        <w:t>Provider Directory</w:t>
      </w:r>
      <w:r>
        <w:t xml:space="preserve"> search page. After clicking, enter a valid 10-digit NPI number in the appropriate box.</w:t>
      </w:r>
    </w:p>
    <w:p w:rsidR="006033A4" w:rsidRDefault="006033A4" w:rsidP="006033A4">
      <w:r>
        <w:rPr>
          <w:noProof/>
        </w:rPr>
        <w:drawing>
          <wp:inline distT="0" distB="0" distL="0" distR="0" wp14:anchorId="5DF8BA23" wp14:editId="4FEF3A9C">
            <wp:extent cx="2392680" cy="1600402"/>
            <wp:effectExtent l="0" t="0" r="762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15076" cy="1615382"/>
                    </a:xfrm>
                    <a:prstGeom prst="rect">
                      <a:avLst/>
                    </a:prstGeom>
                  </pic:spPr>
                </pic:pic>
              </a:graphicData>
            </a:graphic>
          </wp:inline>
        </w:drawing>
      </w:r>
    </w:p>
    <w:p w:rsidR="006033A4" w:rsidRDefault="006033A4" w:rsidP="006033A4"/>
    <w:p w:rsidR="006033A4" w:rsidRDefault="006033A4" w:rsidP="006033A4">
      <w:r>
        <w:t>If the NPI number is already being used in the local directory, the message “NPI is already assigned” will appear. If the NPI number is not 10 digits long, the message “NPI must be a 10 digit number” will appear.</w:t>
      </w:r>
    </w:p>
    <w:p w:rsidR="006033A4" w:rsidRDefault="006033A4" w:rsidP="006033A4"/>
    <w:p w:rsidR="006033A4" w:rsidRDefault="006033A4" w:rsidP="006033A4">
      <w:r>
        <w:t xml:space="preserve">If the NPI number entered is 10 digits long and is not already being used the local directory, a new provider entry will be created. </w:t>
      </w:r>
    </w:p>
    <w:p w:rsidR="00137E63" w:rsidRDefault="00137E63" w:rsidP="00137E63">
      <w:pPr>
        <w:pStyle w:val="Heading3"/>
        <w:rPr>
          <w:rFonts w:eastAsia="Times New Roman"/>
        </w:rPr>
      </w:pPr>
      <w:bookmarkStart w:id="3" w:name="_Toc357111960"/>
      <w:r>
        <w:rPr>
          <w:rFonts w:eastAsia="Times New Roman"/>
        </w:rPr>
        <w:lastRenderedPageBreak/>
        <w:t>Direct Messaging in the Provider Directory</w:t>
      </w:r>
    </w:p>
    <w:p w:rsidR="00137E63" w:rsidRDefault="00137E63" w:rsidP="00137E63">
      <w:pPr>
        <w:spacing w:after="120"/>
        <w:rPr>
          <w:rFonts w:ascii="Calibri" w:eastAsia="Times New Roman" w:hAnsi="Calibri" w:cs="Times New Roman"/>
        </w:rPr>
      </w:pPr>
      <w:r>
        <w:rPr>
          <w:rFonts w:ascii="Calibri" w:eastAsia="Times New Roman" w:hAnsi="Calibri" w:cs="Times New Roman"/>
        </w:rPr>
        <w:t>Direct Messaging uses the p</w:t>
      </w:r>
      <w:r w:rsidRPr="00323F84">
        <w:rPr>
          <w:rFonts w:ascii="Calibri" w:eastAsia="Times New Roman" w:hAnsi="Calibri" w:cs="Times New Roman"/>
        </w:rPr>
        <w:t xml:space="preserve">rimary </w:t>
      </w:r>
      <w:r>
        <w:rPr>
          <w:rFonts w:ascii="Calibri" w:eastAsia="Times New Roman" w:hAnsi="Calibri" w:cs="Times New Roman"/>
        </w:rPr>
        <w:t>d</w:t>
      </w:r>
      <w:r w:rsidRPr="00323F84">
        <w:rPr>
          <w:rFonts w:ascii="Calibri" w:eastAsia="Times New Roman" w:hAnsi="Calibri" w:cs="Times New Roman"/>
        </w:rPr>
        <w:t xml:space="preserve">irect </w:t>
      </w:r>
      <w:r>
        <w:rPr>
          <w:rFonts w:ascii="Calibri" w:eastAsia="Times New Roman" w:hAnsi="Calibri" w:cs="Times New Roman"/>
        </w:rPr>
        <w:t>a</w:t>
      </w:r>
      <w:r w:rsidRPr="00323F84">
        <w:rPr>
          <w:rFonts w:ascii="Calibri" w:eastAsia="Times New Roman" w:hAnsi="Calibri" w:cs="Times New Roman"/>
        </w:rPr>
        <w:t>ddress associated with each provider to send Direct Messages. It can be accessed from the Applicati</w:t>
      </w:r>
      <w:r>
        <w:rPr>
          <w:rFonts w:ascii="Calibri" w:eastAsia="Times New Roman" w:hAnsi="Calibri" w:cs="Times New Roman"/>
        </w:rPr>
        <w:t xml:space="preserve">on Dashboard or from the </w:t>
      </w:r>
      <w:r w:rsidRPr="00664D6D">
        <w:rPr>
          <w:rFonts w:ascii="Calibri" w:eastAsia="Times New Roman" w:hAnsi="Calibri" w:cs="Times New Roman"/>
          <w:b/>
        </w:rPr>
        <w:t>Provider Directory</w:t>
      </w:r>
      <w:r>
        <w:rPr>
          <w:rFonts w:ascii="Calibri" w:eastAsia="Times New Roman" w:hAnsi="Calibri" w:cs="Times New Roman"/>
        </w:rPr>
        <w:t xml:space="preserve"> tab on the </w:t>
      </w:r>
      <w:r w:rsidRPr="00A52D66">
        <w:rPr>
          <w:rFonts w:ascii="Calibri" w:eastAsia="Times New Roman" w:hAnsi="Calibri" w:cs="Times New Roman"/>
          <w:i/>
        </w:rPr>
        <w:t>Messaging</w:t>
      </w:r>
      <w:r>
        <w:rPr>
          <w:rFonts w:ascii="Calibri" w:eastAsia="Times New Roman" w:hAnsi="Calibri" w:cs="Times New Roman"/>
        </w:rPr>
        <w:t xml:space="preserve"> screen.</w:t>
      </w:r>
    </w:p>
    <w:p w:rsidR="00137E63" w:rsidRPr="00323F84" w:rsidRDefault="00137E63" w:rsidP="00137E63">
      <w:pPr>
        <w:spacing w:after="120"/>
        <w:rPr>
          <w:rFonts w:ascii="Calibri" w:eastAsia="Times New Roman" w:hAnsi="Calibri" w:cs="Times New Roman"/>
        </w:rPr>
      </w:pPr>
      <w:r>
        <w:rPr>
          <w:noProof/>
        </w:rPr>
        <w:drawing>
          <wp:inline distT="0" distB="0" distL="0" distR="0" wp14:anchorId="593E5E7E" wp14:editId="48BBF70B">
            <wp:extent cx="5074920" cy="15409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02174" cy="1549185"/>
                    </a:xfrm>
                    <a:prstGeom prst="rect">
                      <a:avLst/>
                    </a:prstGeom>
                  </pic:spPr>
                </pic:pic>
              </a:graphicData>
            </a:graphic>
          </wp:inline>
        </w:drawing>
      </w:r>
    </w:p>
    <w:bookmarkEnd w:id="3"/>
    <w:p w:rsidR="006416B7" w:rsidRDefault="006416B7" w:rsidP="006416B7">
      <w:pPr>
        <w:spacing w:after="120"/>
        <w:rPr>
          <w:rFonts w:ascii="Calibri" w:eastAsia="Times New Roman" w:hAnsi="Calibri" w:cs="Times New Roman"/>
        </w:rPr>
      </w:pPr>
      <w:r w:rsidRPr="00323F84">
        <w:rPr>
          <w:rFonts w:ascii="Calibri" w:eastAsia="Times New Roman" w:hAnsi="Calibri" w:cs="Times New Roman"/>
        </w:rPr>
        <w:t xml:space="preserve">To begin, </w:t>
      </w:r>
      <w:r w:rsidR="001C6A31">
        <w:rPr>
          <w:rFonts w:ascii="Calibri" w:eastAsia="Times New Roman" w:hAnsi="Calibri" w:cs="Times New Roman"/>
        </w:rPr>
        <w:t>perform a provider search, and find the desired provider on the result list</w:t>
      </w:r>
      <w:r w:rsidRPr="00323F84">
        <w:rPr>
          <w:rFonts w:ascii="Calibri" w:eastAsia="Times New Roman" w:hAnsi="Calibri" w:cs="Times New Roman"/>
        </w:rPr>
        <w:t xml:space="preserve"> to the right.</w:t>
      </w:r>
    </w:p>
    <w:p w:rsidR="006416B7" w:rsidRPr="00323F84" w:rsidRDefault="001C6A31" w:rsidP="006416B7">
      <w:pPr>
        <w:spacing w:after="120"/>
        <w:rPr>
          <w:rFonts w:ascii="Calibri" w:eastAsia="Times New Roman" w:hAnsi="Calibri" w:cs="Times New Roman"/>
        </w:rPr>
      </w:pPr>
      <w:r>
        <w:rPr>
          <w:noProof/>
        </w:rPr>
        <w:drawing>
          <wp:inline distT="0" distB="0" distL="0" distR="0" wp14:anchorId="2FF1988C" wp14:editId="44EE20D8">
            <wp:extent cx="5463540" cy="2068674"/>
            <wp:effectExtent l="0" t="0" r="3810" b="825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26629" cy="2092562"/>
                    </a:xfrm>
                    <a:prstGeom prst="rect">
                      <a:avLst/>
                    </a:prstGeom>
                  </pic:spPr>
                </pic:pic>
              </a:graphicData>
            </a:graphic>
          </wp:inline>
        </w:drawing>
      </w:r>
    </w:p>
    <w:p w:rsidR="006416B7" w:rsidRPr="00323F84" w:rsidRDefault="006416B7" w:rsidP="006416B7">
      <w:pPr>
        <w:spacing w:after="200" w:line="276" w:lineRule="auto"/>
        <w:rPr>
          <w:rFonts w:ascii="Calibri" w:eastAsia="Times New Roman" w:hAnsi="Calibri" w:cs="Times New Roman"/>
        </w:rPr>
      </w:pPr>
      <w:r w:rsidRPr="00323F84">
        <w:rPr>
          <w:rFonts w:ascii="Calibri" w:eastAsia="Times New Roman" w:hAnsi="Calibri" w:cs="Times New Roman"/>
        </w:rPr>
        <w:t xml:space="preserve">Clicking on the provider’s </w:t>
      </w:r>
      <w:r w:rsidR="001C6A31">
        <w:rPr>
          <w:rFonts w:ascii="Calibri" w:eastAsia="Times New Roman" w:hAnsi="Calibri" w:cs="Times New Roman"/>
        </w:rPr>
        <w:t>p</w:t>
      </w:r>
      <w:r w:rsidRPr="001C6A31">
        <w:rPr>
          <w:rFonts w:ascii="Calibri" w:eastAsia="Times New Roman" w:hAnsi="Calibri" w:cs="Times New Roman"/>
        </w:rPr>
        <w:t xml:space="preserve">rimary </w:t>
      </w:r>
      <w:r w:rsidR="001C6A31">
        <w:rPr>
          <w:rFonts w:ascii="Calibri" w:eastAsia="Times New Roman" w:hAnsi="Calibri" w:cs="Times New Roman"/>
        </w:rPr>
        <w:t>d</w:t>
      </w:r>
      <w:r w:rsidRPr="001C6A31">
        <w:rPr>
          <w:rFonts w:ascii="Calibri" w:eastAsia="Times New Roman" w:hAnsi="Calibri" w:cs="Times New Roman"/>
        </w:rPr>
        <w:t xml:space="preserve">irect </w:t>
      </w:r>
      <w:r w:rsidR="001C6A31">
        <w:rPr>
          <w:rFonts w:ascii="Calibri" w:eastAsia="Times New Roman" w:hAnsi="Calibri" w:cs="Times New Roman"/>
        </w:rPr>
        <w:t>a</w:t>
      </w:r>
      <w:r w:rsidRPr="001C6A31">
        <w:rPr>
          <w:rFonts w:ascii="Calibri" w:eastAsia="Times New Roman" w:hAnsi="Calibri" w:cs="Times New Roman"/>
        </w:rPr>
        <w:t>ddress</w:t>
      </w:r>
      <w:r w:rsidRPr="00323F84">
        <w:rPr>
          <w:rFonts w:ascii="Calibri" w:eastAsia="Times New Roman" w:hAnsi="Calibri" w:cs="Times New Roman"/>
        </w:rPr>
        <w:t xml:space="preserve"> takes you to </w:t>
      </w:r>
      <w:r w:rsidR="00F427D1">
        <w:rPr>
          <w:rFonts w:ascii="Calibri" w:eastAsia="Times New Roman" w:hAnsi="Calibri" w:cs="Times New Roman"/>
        </w:rPr>
        <w:t>the</w:t>
      </w:r>
      <w:r w:rsidRPr="00323F84">
        <w:rPr>
          <w:rFonts w:ascii="Calibri" w:eastAsia="Times New Roman" w:hAnsi="Calibri" w:cs="Times New Roman"/>
        </w:rPr>
        <w:t xml:space="preserve"> </w:t>
      </w:r>
      <w:r w:rsidRPr="00323F84">
        <w:rPr>
          <w:rFonts w:ascii="Calibri" w:eastAsia="Times New Roman" w:hAnsi="Calibri" w:cs="Times New Roman"/>
          <w:b/>
        </w:rPr>
        <w:t>Compose Message</w:t>
      </w:r>
      <w:r>
        <w:rPr>
          <w:rFonts w:ascii="Calibri" w:eastAsia="Times New Roman" w:hAnsi="Calibri" w:cs="Times New Roman"/>
        </w:rPr>
        <w:t xml:space="preserve"> screen, with the provider’s Direct Address </w:t>
      </w:r>
      <w:r w:rsidRPr="00323F84">
        <w:rPr>
          <w:rFonts w:ascii="Calibri" w:eastAsia="Times New Roman" w:hAnsi="Calibri" w:cs="Times New Roman"/>
        </w:rPr>
        <w:t>auto-populated.</w:t>
      </w:r>
    </w:p>
    <w:p w:rsidR="006416B7" w:rsidRPr="00C64F47" w:rsidRDefault="006416B7" w:rsidP="006416B7">
      <w:pPr>
        <w:pStyle w:val="ListParagraph"/>
        <w:spacing w:after="120"/>
        <w:ind w:left="0"/>
        <w:contextualSpacing w:val="0"/>
      </w:pPr>
    </w:p>
    <w:sectPr w:rsidR="006416B7" w:rsidRPr="00C64F47">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63CE" w:rsidRDefault="009E63CE" w:rsidP="00C56480">
      <w:r>
        <w:separator/>
      </w:r>
    </w:p>
  </w:endnote>
  <w:endnote w:type="continuationSeparator" w:id="0">
    <w:p w:rsidR="009E63CE" w:rsidRDefault="009E63CE" w:rsidP="00C564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0644" w:rsidRDefault="005F064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6480" w:rsidRDefault="00C56480" w:rsidP="00C56480">
    <w:pPr>
      <w:pStyle w:val="Footer"/>
      <w:ind w:left="360" w:hanging="360"/>
      <w:jc w:val="both"/>
    </w:pPr>
    <w:r w:rsidRPr="003872E2">
      <w:rPr>
        <w:noProof/>
      </w:rPr>
      <w:drawing>
        <wp:anchor distT="0" distB="0" distL="114300" distR="114300" simplePos="0" relativeHeight="251659264" behindDoc="0" locked="0" layoutInCell="1" allowOverlap="1" wp14:anchorId="65AE8361" wp14:editId="72F306D0">
          <wp:simplePos x="0" y="0"/>
          <wp:positionH relativeFrom="margin">
            <wp:posOffset>-400050</wp:posOffset>
          </wp:positionH>
          <wp:positionV relativeFrom="paragraph">
            <wp:posOffset>198120</wp:posOffset>
          </wp:positionV>
          <wp:extent cx="2011045" cy="400050"/>
          <wp:effectExtent l="0" t="0" r="8255" b="0"/>
          <wp:wrapNone/>
          <wp:docPr id="13" name="Picture 13" descr="C:\Users\Will\Downloads\CareEvolutionLogo2460x4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ill\Downloads\CareEvolutionLogo2460x489.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011045" cy="400050"/>
                  </a:xfrm>
                  <a:prstGeom prst="rect">
                    <a:avLst/>
                  </a:prstGeom>
                  <a:noFill/>
                  <a:ln>
                    <a:noFill/>
                  </a:ln>
                </pic:spPr>
              </pic:pic>
            </a:graphicData>
          </a:graphic>
        </wp:anchor>
      </w:drawing>
    </w:r>
  </w:p>
  <w:p w:rsidR="00C56480" w:rsidRDefault="00C56480" w:rsidP="00C56480">
    <w:pPr>
      <w:pStyle w:val="Footer"/>
      <w:ind w:left="360" w:hanging="360"/>
      <w:jc w:val="both"/>
    </w:pPr>
    <w:r>
      <w:tab/>
    </w:r>
    <w:r>
      <w:tab/>
    </w:r>
    <w:r>
      <w:fldChar w:fldCharType="begin"/>
    </w:r>
    <w:r>
      <w:instrText xml:space="preserve"> PAGE   \* MERGEFORMAT </w:instrText>
    </w:r>
    <w:r>
      <w:fldChar w:fldCharType="separate"/>
    </w:r>
    <w:r w:rsidR="00353169">
      <w:rPr>
        <w:noProof/>
      </w:rPr>
      <w:t>4</w:t>
    </w:r>
    <w:r>
      <w:rPr>
        <w:noProof/>
      </w:rPr>
      <w:fldChar w:fldCharType="end"/>
    </w:r>
    <w:r>
      <w:t xml:space="preserve"> </w:t>
    </w:r>
    <w:r>
      <w:tab/>
    </w:r>
    <w:r w:rsidR="00887929">
      <w:t>December</w:t>
    </w:r>
    <w:r>
      <w:t xml:space="preserve"> 2013</w:t>
    </w:r>
  </w:p>
  <w:p w:rsidR="00C56480" w:rsidRDefault="00C5648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0644" w:rsidRDefault="005F064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63CE" w:rsidRDefault="009E63CE" w:rsidP="00C56480">
      <w:r>
        <w:separator/>
      </w:r>
    </w:p>
  </w:footnote>
  <w:footnote w:type="continuationSeparator" w:id="0">
    <w:p w:rsidR="009E63CE" w:rsidRDefault="009E63CE" w:rsidP="00C5648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0644" w:rsidRDefault="005F064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6480" w:rsidRDefault="00C56480" w:rsidP="00BE0E38">
    <w:pPr>
      <w:pStyle w:val="Header"/>
      <w:pBdr>
        <w:between w:val="single" w:sz="4" w:space="1" w:color="4F81BD"/>
      </w:pBdr>
      <w:spacing w:line="276" w:lineRule="auto"/>
      <w:jc w:val="center"/>
    </w:pPr>
    <w:r>
      <w:t>User Guide</w:t>
    </w:r>
  </w:p>
  <w:p w:rsidR="00C56480" w:rsidRPr="00C56480" w:rsidRDefault="00C56480" w:rsidP="00C5648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0644" w:rsidRDefault="005F064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6311FB"/>
    <w:multiLevelType w:val="hybridMultilevel"/>
    <w:tmpl w:val="049E78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48CB4659"/>
    <w:multiLevelType w:val="hybridMultilevel"/>
    <w:tmpl w:val="2B409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DBE405B"/>
    <w:multiLevelType w:val="hybridMultilevel"/>
    <w:tmpl w:val="0CE4E8E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663A1CD0"/>
    <w:multiLevelType w:val="hybridMultilevel"/>
    <w:tmpl w:val="26C6D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2E46517"/>
    <w:multiLevelType w:val="hybridMultilevel"/>
    <w:tmpl w:val="492470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6480"/>
    <w:rsid w:val="00030A83"/>
    <w:rsid w:val="00053D92"/>
    <w:rsid w:val="00054D7E"/>
    <w:rsid w:val="00073640"/>
    <w:rsid w:val="0008167A"/>
    <w:rsid w:val="00084703"/>
    <w:rsid w:val="00085BB4"/>
    <w:rsid w:val="000F0F05"/>
    <w:rsid w:val="00137E63"/>
    <w:rsid w:val="00196679"/>
    <w:rsid w:val="001A2684"/>
    <w:rsid w:val="001C6A31"/>
    <w:rsid w:val="00234D9C"/>
    <w:rsid w:val="002753BC"/>
    <w:rsid w:val="00281DBB"/>
    <w:rsid w:val="00287F17"/>
    <w:rsid w:val="00292BE4"/>
    <w:rsid w:val="002E7C3D"/>
    <w:rsid w:val="002F1E3C"/>
    <w:rsid w:val="00317AB7"/>
    <w:rsid w:val="00323F84"/>
    <w:rsid w:val="00334E07"/>
    <w:rsid w:val="00353169"/>
    <w:rsid w:val="003A5E94"/>
    <w:rsid w:val="00455434"/>
    <w:rsid w:val="00484637"/>
    <w:rsid w:val="00493F06"/>
    <w:rsid w:val="004F217E"/>
    <w:rsid w:val="00503335"/>
    <w:rsid w:val="0051101E"/>
    <w:rsid w:val="00521710"/>
    <w:rsid w:val="00552ADF"/>
    <w:rsid w:val="005654F1"/>
    <w:rsid w:val="005B5DB8"/>
    <w:rsid w:val="005F0644"/>
    <w:rsid w:val="005F24E8"/>
    <w:rsid w:val="0060101F"/>
    <w:rsid w:val="006033A4"/>
    <w:rsid w:val="006416B7"/>
    <w:rsid w:val="00664D6D"/>
    <w:rsid w:val="006A5BE4"/>
    <w:rsid w:val="006C4E9E"/>
    <w:rsid w:val="006E3EC0"/>
    <w:rsid w:val="00740E01"/>
    <w:rsid w:val="00744EA1"/>
    <w:rsid w:val="0075524E"/>
    <w:rsid w:val="007B1179"/>
    <w:rsid w:val="007F11DE"/>
    <w:rsid w:val="008147C5"/>
    <w:rsid w:val="0082179B"/>
    <w:rsid w:val="0084188E"/>
    <w:rsid w:val="00851590"/>
    <w:rsid w:val="00865CFE"/>
    <w:rsid w:val="00885181"/>
    <w:rsid w:val="00887929"/>
    <w:rsid w:val="00887CDF"/>
    <w:rsid w:val="008B0D74"/>
    <w:rsid w:val="008F6761"/>
    <w:rsid w:val="0091687E"/>
    <w:rsid w:val="00931C84"/>
    <w:rsid w:val="0096742C"/>
    <w:rsid w:val="009E0D34"/>
    <w:rsid w:val="009E63CE"/>
    <w:rsid w:val="00A42390"/>
    <w:rsid w:val="00A52D66"/>
    <w:rsid w:val="00AD2A29"/>
    <w:rsid w:val="00B02434"/>
    <w:rsid w:val="00B06FB1"/>
    <w:rsid w:val="00B81655"/>
    <w:rsid w:val="00BB05AA"/>
    <w:rsid w:val="00BD2C38"/>
    <w:rsid w:val="00BE0E38"/>
    <w:rsid w:val="00C43671"/>
    <w:rsid w:val="00C56480"/>
    <w:rsid w:val="00C64F47"/>
    <w:rsid w:val="00CC0774"/>
    <w:rsid w:val="00CC2CCC"/>
    <w:rsid w:val="00D54453"/>
    <w:rsid w:val="00D57D18"/>
    <w:rsid w:val="00D971B8"/>
    <w:rsid w:val="00E35297"/>
    <w:rsid w:val="00ED7B4A"/>
    <w:rsid w:val="00EE0CFF"/>
    <w:rsid w:val="00F427D1"/>
    <w:rsid w:val="00FA09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01BB58F-BF20-48DF-8230-B0EEC1093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34D9C"/>
    <w:pPr>
      <w:keepNext/>
      <w:keepLines/>
      <w:spacing w:before="480" w:line="276" w:lineRule="auto"/>
      <w:outlineLvl w:val="0"/>
    </w:pPr>
    <w:rPr>
      <w:rFonts w:ascii="Cambria" w:eastAsiaTheme="majorEastAsia" w:hAnsi="Cambria" w:cstheme="majorBidi"/>
      <w:b/>
      <w:caps/>
      <w:color w:val="595959" w:themeColor="text1" w:themeTint="A6"/>
      <w:sz w:val="28"/>
      <w:szCs w:val="32"/>
    </w:rPr>
  </w:style>
  <w:style w:type="paragraph" w:styleId="Heading2">
    <w:name w:val="heading 2"/>
    <w:basedOn w:val="Normal"/>
    <w:next w:val="Normal"/>
    <w:link w:val="Heading2Char"/>
    <w:uiPriority w:val="9"/>
    <w:unhideWhenUsed/>
    <w:qFormat/>
    <w:rsid w:val="00455434"/>
    <w:pPr>
      <w:keepNext/>
      <w:keepLines/>
      <w:spacing w:before="40"/>
      <w:outlineLvl w:val="1"/>
    </w:pPr>
    <w:rPr>
      <w:rFonts w:ascii="Cambria" w:eastAsiaTheme="majorEastAsia" w:hAnsi="Cambria" w:cstheme="majorBidi"/>
      <w:b/>
      <w:caps/>
      <w:color w:val="595959" w:themeColor="text1" w:themeTint="A6"/>
      <w:sz w:val="26"/>
      <w:szCs w:val="26"/>
    </w:rPr>
  </w:style>
  <w:style w:type="paragraph" w:styleId="Heading3">
    <w:name w:val="heading 3"/>
    <w:basedOn w:val="Normal"/>
    <w:next w:val="Normal"/>
    <w:link w:val="Heading3Char"/>
    <w:uiPriority w:val="9"/>
    <w:unhideWhenUsed/>
    <w:qFormat/>
    <w:rsid w:val="00234D9C"/>
    <w:pPr>
      <w:keepNext/>
      <w:keepLines/>
      <w:spacing w:before="200" w:line="276" w:lineRule="auto"/>
      <w:outlineLvl w:val="2"/>
    </w:pPr>
    <w:rPr>
      <w:rFonts w:ascii="Cambria" w:eastAsiaTheme="majorEastAsia" w:hAnsi="Cambria" w:cstheme="majorBidi"/>
      <w:b/>
      <w:color w:val="595959" w:themeColor="text1" w:themeTint="A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6480"/>
    <w:pPr>
      <w:tabs>
        <w:tab w:val="center" w:pos="4680"/>
        <w:tab w:val="right" w:pos="9360"/>
      </w:tabs>
    </w:pPr>
  </w:style>
  <w:style w:type="character" w:customStyle="1" w:styleId="HeaderChar">
    <w:name w:val="Header Char"/>
    <w:basedOn w:val="DefaultParagraphFont"/>
    <w:link w:val="Header"/>
    <w:uiPriority w:val="99"/>
    <w:rsid w:val="00C56480"/>
  </w:style>
  <w:style w:type="paragraph" w:styleId="Footer">
    <w:name w:val="footer"/>
    <w:basedOn w:val="Normal"/>
    <w:link w:val="FooterChar"/>
    <w:uiPriority w:val="99"/>
    <w:unhideWhenUsed/>
    <w:rsid w:val="00C56480"/>
    <w:pPr>
      <w:tabs>
        <w:tab w:val="center" w:pos="4680"/>
        <w:tab w:val="right" w:pos="9360"/>
      </w:tabs>
    </w:pPr>
  </w:style>
  <w:style w:type="character" w:customStyle="1" w:styleId="FooterChar">
    <w:name w:val="Footer Char"/>
    <w:basedOn w:val="DefaultParagraphFont"/>
    <w:link w:val="Footer"/>
    <w:uiPriority w:val="99"/>
    <w:rsid w:val="00C56480"/>
  </w:style>
  <w:style w:type="character" w:customStyle="1" w:styleId="Heading2Char">
    <w:name w:val="Heading 2 Char"/>
    <w:basedOn w:val="DefaultParagraphFont"/>
    <w:link w:val="Heading2"/>
    <w:uiPriority w:val="9"/>
    <w:rsid w:val="00455434"/>
    <w:rPr>
      <w:rFonts w:ascii="Cambria" w:eastAsiaTheme="majorEastAsia" w:hAnsi="Cambria" w:cstheme="majorBidi"/>
      <w:b/>
      <w:caps/>
      <w:color w:val="595959" w:themeColor="text1" w:themeTint="A6"/>
      <w:sz w:val="26"/>
      <w:szCs w:val="26"/>
    </w:rPr>
  </w:style>
  <w:style w:type="character" w:customStyle="1" w:styleId="Heading1Char">
    <w:name w:val="Heading 1 Char"/>
    <w:basedOn w:val="DefaultParagraphFont"/>
    <w:link w:val="Heading1"/>
    <w:uiPriority w:val="9"/>
    <w:rsid w:val="00234D9C"/>
    <w:rPr>
      <w:rFonts w:ascii="Cambria" w:eastAsiaTheme="majorEastAsia" w:hAnsi="Cambria" w:cstheme="majorBidi"/>
      <w:b/>
      <w:caps/>
      <w:color w:val="595959" w:themeColor="text1" w:themeTint="A6"/>
      <w:sz w:val="28"/>
      <w:szCs w:val="32"/>
    </w:rPr>
  </w:style>
  <w:style w:type="character" w:customStyle="1" w:styleId="Heading3Char">
    <w:name w:val="Heading 3 Char"/>
    <w:basedOn w:val="DefaultParagraphFont"/>
    <w:link w:val="Heading3"/>
    <w:uiPriority w:val="9"/>
    <w:rsid w:val="00234D9C"/>
    <w:rPr>
      <w:rFonts w:ascii="Cambria" w:eastAsiaTheme="majorEastAsia" w:hAnsi="Cambria" w:cstheme="majorBidi"/>
      <w:b/>
      <w:color w:val="595959" w:themeColor="text1" w:themeTint="A6"/>
      <w:szCs w:val="24"/>
    </w:rPr>
  </w:style>
  <w:style w:type="paragraph" w:styleId="ListParagraph">
    <w:name w:val="List Paragraph"/>
    <w:basedOn w:val="Normal"/>
    <w:uiPriority w:val="34"/>
    <w:qFormat/>
    <w:rsid w:val="00030A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piregistry.cms.hhs.gov/NPPESRegistry/NPIRegistryHome.do" TargetMode="Externa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483</Words>
  <Characters>2754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Gindlesperger</dc:creator>
  <cp:keywords/>
  <dc:description/>
  <cp:lastModifiedBy>Christian Gindlesperger</cp:lastModifiedBy>
  <cp:revision>2</cp:revision>
  <dcterms:created xsi:type="dcterms:W3CDTF">2013-12-06T19:19:00Z</dcterms:created>
  <dcterms:modified xsi:type="dcterms:W3CDTF">2013-12-06T19:19:00Z</dcterms:modified>
</cp:coreProperties>
</file>