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independiente21"/>
        <w:rPr>
          <w:rFonts w:ascii="Arial" w:hAnsi="Arial" w:eastAsia="Arial" w:cs="Arial"/>
          <w:iCs/>
          <w:sz w:val="20"/>
          <w:lang w:val="es-ES"/>
        </w:rPr>
      </w:pPr>
      <w:r>
        <w:rPr>
          <w:rFonts w:eastAsia="Arial" w:cs="Arial" w:ascii="Arial" w:hAnsi="Arial"/>
          <w:iCs/>
          <w:sz w:val="20"/>
          <w:lang w:val="es-ES"/>
        </w:rPr>
        <w:t xml:space="preserve">        </w:t>
      </w:r>
    </w:p>
    <w:p>
      <w:pPr>
        <w:pStyle w:val="Textoindependiente21"/>
        <w:rPr/>
      </w:pPr>
      <w:r>
        <w:rPr>
          <w:rFonts w:cs="Arial" w:ascii="Arial" w:hAnsi="Arial"/>
          <w:iCs/>
          <w:sz w:val="20"/>
          <w:lang w:val="es-ES"/>
        </w:rPr>
        <w:t>CONTRATO DE PRESTACIÓN DE SERVICIOS DE INTERNET No. 4</w:t>
      </w:r>
    </w:p>
    <w:p>
      <w:pPr>
        <w:pStyle w:val="Textoindependiente21"/>
        <w:rPr/>
      </w:pPr>
      <w:r>
        <w:rPr/>
      </w:r>
    </w:p>
    <w:p>
      <w:pPr>
        <w:sectPr>
          <w:headerReference w:type="default" r:id="rId2"/>
          <w:footerReference w:type="default" r:id="rId3"/>
          <w:type w:val="nextPage"/>
          <w:pgSz w:w="11906" w:h="16838"/>
          <w:pgMar w:left="851" w:right="974" w:header="720" w:top="777" w:footer="720" w:bottom="777" w:gutter="0"/>
          <w:pgNumType w:fmt="decimal"/>
          <w:formProt w:val="false"/>
          <w:textDirection w:val="lrTb"/>
          <w:docGrid w:type="default" w:linePitch="360" w:charSpace="0"/>
        </w:sectPr>
      </w:pPr>
    </w:p>
    <w:p>
      <w:pPr>
        <w:pStyle w:val="Xmsonormal"/>
        <w:rPr/>
      </w:pPr>
      <w:r>
        <w:rPr>
          <w:rFonts w:eastAsia="Times New Roman" w:cs="Arial" w:ascii="Arial" w:hAnsi="Arial"/>
          <w:iCs/>
          <w:color w:val="00000A"/>
          <w:sz w:val="20"/>
          <w:szCs w:val="20"/>
          <w:lang w:val="es-ES" w:bidi="ar-SA"/>
        </w:rPr>
        <w:t xml:space="preserve">Intervienen en la celebración del presente contrato de prestación de servicios, por una parte </w:t>
      </w:r>
      <w:r>
        <w:rPr>
          <w:rFonts w:eastAsia="Times New Roman" w:cs="Arial" w:ascii="Arial" w:hAnsi="Arial"/>
          <w:b/>
          <w:iCs/>
          <w:color w:val="00000A"/>
          <w:sz w:val="20"/>
          <w:szCs w:val="20"/>
          <w:lang w:val="es-ES" w:bidi="ar-SA"/>
        </w:rPr>
        <w:t>NEGOCIOS Y TELEFONIA NEDETEL S. A.</w:t>
      </w:r>
      <w:r>
        <w:rPr>
          <w:rFonts w:eastAsia="Times New Roman" w:cs="Arial" w:ascii="Arial" w:hAnsi="Arial"/>
          <w:iCs/>
          <w:color w:val="00000A"/>
          <w:sz w:val="20"/>
          <w:szCs w:val="20"/>
          <w:lang w:val="es-ES" w:bidi="ar-SA"/>
        </w:rPr>
        <w:t xml:space="preserve">, con numero de  RUC:  0992182326001, representada por el </w:t>
      </w:r>
      <w:r>
        <w:rPr>
          <w:rFonts w:eastAsia="Times New Roman" w:cs="Arial" w:ascii="Arial" w:hAnsi="Arial"/>
          <w:b/>
          <w:iCs/>
          <w:color w:val="00000A"/>
          <w:sz w:val="20"/>
          <w:szCs w:val="20"/>
          <w:lang w:val="es-ES" w:bidi="ar-SA"/>
        </w:rPr>
        <w:t>Sr. JUAN CARLOS MENENDEZ</w:t>
      </w:r>
      <w:r>
        <w:rPr>
          <w:rFonts w:eastAsia="Times New Roman" w:cs="Arial" w:ascii="Arial" w:hAnsi="Arial"/>
          <w:iCs/>
          <w:color w:val="00000A"/>
          <w:sz w:val="20"/>
          <w:szCs w:val="20"/>
          <w:lang w:val="es-ES" w:bidi="ar-SA"/>
        </w:rPr>
        <w:t xml:space="preserve"> en su calidad de Presidente, a  parte a quien podrá denominarse simplemente como NEDETEL, EL  PERMISIONARIO o  EL PROVEEDOR,   y por otra  a Maximo Salinas, con número de cédula/RUC 0000000000000 quien podrá denominarse simplemente como EL  CLIENTE, quienes de manera libre y por mutuo acuerdo y voluntariamente celebran el presente contrato de prestación de servicios contenido en las siguientes cláusulas:</w:t>
      </w:r>
    </w:p>
    <w:p>
      <w:pPr>
        <w:pStyle w:val="Normal"/>
        <w:jc w:val="both"/>
        <w:rPr/>
      </w:pPr>
      <w:r>
        <w:rPr>
          <w:rFonts w:cs="Arial"/>
          <w:b/>
          <w:iCs/>
          <w:szCs w:val="20"/>
        </w:rPr>
        <w:t xml:space="preserve">PRIMERA.- ANTECEDENTES.- </w:t>
      </w:r>
      <w:r>
        <w:rPr>
          <w:rFonts w:cs="Arial"/>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pPr>
        <w:pStyle w:val="Normal"/>
        <w:jc w:val="both"/>
        <w:rPr/>
      </w:pPr>
      <w:r>
        <w:rPr>
          <w:rFonts w:cs="Arial"/>
          <w:b/>
          <w:iCs/>
          <w:szCs w:val="20"/>
        </w:rPr>
        <w:t>SEGUNDA.-</w:t>
        <w:tab/>
        <w:t xml:space="preserve">OBJETO, CARACTERISTICAS.- </w:t>
      </w:r>
      <w:r>
        <w:rPr>
          <w:rFonts w:cs="Arial"/>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pPr>
        <w:pStyle w:val="Normal"/>
        <w:jc w:val="both"/>
        <w:rPr/>
      </w:pPr>
      <w:r>
        <w:rPr>
          <w:rFonts w:cs="Arial"/>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rFonts w:cs="Arial"/>
          <w:iCs/>
          <w:szCs w:val="20"/>
          <w:lang w:val="es-ES"/>
        </w:rPr>
        <w:t xml:space="preserve"> EL PERMISIONARIO </w:t>
      </w:r>
      <w:r>
        <w:rPr>
          <w:rFonts w:cs="Arial"/>
          <w:szCs w:val="20"/>
        </w:rPr>
        <w:t xml:space="preserve"> guardará cronológicamente, para efectos de prueba,  los Anexos que llegaren a suscribirse entre las partes.</w:t>
      </w:r>
    </w:p>
    <w:p>
      <w:pPr>
        <w:pStyle w:val="Normal"/>
        <w:jc w:val="both"/>
        <w:rPr>
          <w:rFonts w:cs="Arial"/>
          <w:b/>
          <w:b/>
          <w:iCs/>
          <w:szCs w:val="20"/>
          <w:lang w:val="es-ES"/>
        </w:rPr>
      </w:pPr>
      <w:r>
        <w:rPr>
          <w:rFonts w:cs="Arial"/>
          <w:b/>
          <w:iCs/>
          <w:szCs w:val="20"/>
          <w:lang w:val="es-ES"/>
        </w:rPr>
        <w:t>TERCERA.-</w:t>
        <w:tab/>
        <w:t>PRECIO Y FORMA DE PAGO.-</w:t>
      </w:r>
    </w:p>
    <w:p>
      <w:pPr>
        <w:pStyle w:val="Sangra3detindependiente1"/>
        <w:ind w:left="0" w:right="0" w:hanging="0"/>
        <w:rPr/>
      </w:pPr>
      <w:r>
        <w:rPr>
          <w:rFonts w:cs="Arial" w:ascii="Arial" w:hAnsi="Arial"/>
          <w:iCs/>
          <w:sz w:val="20"/>
          <w:lang w:val="es-ES"/>
        </w:rPr>
        <w:t>a)   El pre</w:t>
      </w:r>
      <w:r>
        <w:rPr>
          <w:rFonts w:cs="Arial" w:ascii="Arial" w:hAnsi="Arial"/>
          <w:iCs/>
          <w:sz w:val="20"/>
          <w:lang w:val="es-EC"/>
        </w:rPr>
        <w:t>cio</w:t>
      </w:r>
      <w:r>
        <w:rPr>
          <w:rFonts w:cs="Arial" w:ascii="Arial" w:hAnsi="Arial"/>
          <w:iCs/>
          <w:sz w:val="20"/>
          <w:lang w:val="es-ES"/>
        </w:rPr>
        <w:t xml:space="preserve"> acordado por la instalación y puesta en funcionamiento por el Servicio</w:t>
      </w:r>
      <w:r>
        <w:rPr>
          <w:rFonts w:cs="Arial" w:ascii="Arial" w:hAnsi="Arial"/>
          <w:iCs/>
          <w:color w:val="000000"/>
          <w:sz w:val="20"/>
          <w:lang w:val="es-ES"/>
        </w:rPr>
        <w:t xml:space="preserve"> de Acceso a Internet es el que consta en el ANEXO 2 (comercial) denominado “ORDEN DE SERVICIO”, y que firmado por las partes, es integrante del presente contrato. </w:t>
      </w:r>
    </w:p>
    <w:p>
      <w:pPr>
        <w:pStyle w:val="Sangra3detindependiente1"/>
        <w:ind w:left="0" w:right="0" w:hanging="0"/>
        <w:rPr>
          <w:rFonts w:ascii="Arial" w:hAnsi="Arial" w:cs="Arial"/>
          <w:iCs/>
          <w:sz w:val="20"/>
          <w:lang w:val="es-ES"/>
        </w:rPr>
      </w:pPr>
      <w:r>
        <w:rPr>
          <w:rFonts w:cs="Arial" w:ascii="Arial" w:hAnsi="Arial"/>
          <w:iCs/>
          <w:sz w:val="20"/>
          <w:lang w:val="es-ES"/>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pPr>
        <w:pStyle w:val="Sangra3detindependiente1"/>
        <w:ind w:left="0" w:right="0" w:hanging="0"/>
        <w:rPr/>
      </w:pPr>
      <w:r>
        <w:rPr>
          <w:rFonts w:cs="Arial" w:ascii="Arial" w:hAnsi="Arial"/>
          <w:iCs/>
          <w:sz w:val="20"/>
          <w:lang w:val="es-ES"/>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cs="Arial" w:ascii="Arial" w:hAnsi="Arial"/>
          <w:b w:val="false"/>
          <w:bCs w:val="false"/>
          <w:iCs/>
          <w:sz w:val="20"/>
          <w:szCs w:val="20"/>
          <w:lang w:val="es-ES_tradnl"/>
        </w:rPr>
        <w:t>NEDETEL</w:t>
      </w:r>
      <w:r>
        <w:rPr>
          <w:rFonts w:cs="Arial" w:ascii="Arial" w:hAnsi="Arial"/>
          <w:iCs/>
          <w:sz w:val="20"/>
          <w:lang w:val="es-ES"/>
        </w:rPr>
        <w:t xml:space="preserve">  tiene la facultad de suspender la prestación del  servicio en cualquier momento. En los casos que corresponda, se cobrarán los rubros antes indicados y la mensualidad en lo proporcional del mes de facturación en curso.  </w:t>
      </w:r>
    </w:p>
    <w:p>
      <w:pPr>
        <w:pStyle w:val="Sangra3detindependiente1"/>
        <w:ind w:left="0" w:right="0" w:hanging="0"/>
        <w:rPr>
          <w:rFonts w:ascii="Arial" w:hAnsi="Arial" w:cs="Arial"/>
          <w:iCs/>
          <w:sz w:val="20"/>
          <w:lang w:val="es-ES"/>
        </w:rPr>
      </w:pPr>
      <w:r>
        <w:rPr>
          <w:rFonts w:cs="Arial" w:ascii="Arial" w:hAnsi="Arial"/>
          <w:iCs/>
          <w:sz w:val="20"/>
          <w:lang w:val="es-ES"/>
        </w:rPr>
        <w:t>d) En los casos de suspensión, el permisionario podrá cobrar el valor pactado como  reconexión y que consta en el Anexo 2 Comercial, que debidamente suscrito, forma parte integrante del presente contrato.</w:t>
      </w:r>
    </w:p>
    <w:p>
      <w:pPr>
        <w:pStyle w:val="Sangra3detindependiente1"/>
        <w:ind w:left="0" w:right="0" w:hanging="0"/>
        <w:rPr>
          <w:rFonts w:ascii="Arial" w:hAnsi="Arial" w:cs="Arial"/>
          <w:iCs/>
          <w:sz w:val="20"/>
          <w:lang w:val="es-ES"/>
        </w:rPr>
      </w:pPr>
      <w:r>
        <w:rPr>
          <w:rFonts w:cs="Arial" w:ascii="Arial" w:hAnsi="Arial"/>
          <w:iCs/>
          <w:sz w:val="20"/>
          <w:lang w:val="es-ES"/>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pPr>
        <w:pStyle w:val="Sangra3detindependiente1"/>
        <w:ind w:left="0" w:right="0" w:hanging="0"/>
        <w:rPr>
          <w:rFonts w:ascii="Arial" w:hAnsi="Arial" w:cs="Arial"/>
          <w:b/>
          <w:b/>
          <w:iCs/>
          <w:sz w:val="20"/>
        </w:rPr>
      </w:pPr>
      <w:r>
        <w:rPr>
          <w:rFonts w:cs="Arial" w:ascii="Arial" w:hAnsi="Arial"/>
          <w:b/>
          <w:iCs/>
          <w:sz w:val="20"/>
        </w:rPr>
        <w:t>CUARTA.-  DERECHOS DEL CLIENTE.-</w:t>
      </w:r>
    </w:p>
    <w:p>
      <w:pPr>
        <w:pStyle w:val="Textoindependiente31"/>
        <w:rPr>
          <w:rFonts w:ascii="Arial" w:hAnsi="Arial" w:cs="Arial"/>
          <w:bCs/>
          <w:sz w:val="20"/>
        </w:rPr>
      </w:pPr>
      <w:r>
        <w:rPr>
          <w:rFonts w:cs="Arial" w:ascii="Arial" w:hAnsi="Arial"/>
          <w:bCs/>
          <w:sz w:val="20"/>
        </w:rPr>
        <w:t>1.- A recibir el servicio de acuerdo a los términos estipulados en el presente contrato.</w:t>
      </w:r>
    </w:p>
    <w:p>
      <w:pPr>
        <w:pStyle w:val="Textoindependiente31"/>
        <w:rPr>
          <w:rFonts w:ascii="Arial" w:hAnsi="Arial" w:cs="Arial"/>
          <w:bCs/>
          <w:sz w:val="20"/>
        </w:rPr>
      </w:pPr>
      <w:r>
        <w:rPr>
          <w:rFonts w:cs="Arial" w:ascii="Arial" w:hAnsi="Arial"/>
          <w:bCs/>
          <w:sz w:val="20"/>
        </w:rPr>
        <w:t>2.- A un reconocimiento económico que corresponda al tiempo que el servicio no ha estado disponible, cuando la causa fuese imputable al prestador del servicio.</w:t>
      </w:r>
    </w:p>
    <w:p>
      <w:pPr>
        <w:pStyle w:val="Textoindependiente31"/>
        <w:rPr>
          <w:rFonts w:ascii="Arial" w:hAnsi="Arial" w:cs="Arial"/>
          <w:bCs/>
          <w:sz w:val="20"/>
        </w:rPr>
      </w:pPr>
      <w:r>
        <w:rPr>
          <w:rFonts w:cs="Arial" w:ascii="Arial" w:hAnsi="Arial"/>
          <w:bCs/>
          <w:sz w:val="20"/>
        </w:rPr>
        <w:t>3.-  A que no se varíe el precio estipulado en el contrato mientras dure la vigencia del mismo o no se cambien las condiciones de la prestación  a través de la suscripción de nuevos Anexos Técnico (s) y Comercial (es).</w:t>
      </w:r>
    </w:p>
    <w:p>
      <w:pPr>
        <w:pStyle w:val="Textoindependiente31"/>
        <w:rPr>
          <w:rFonts w:ascii="Arial" w:hAnsi="Arial" w:cs="Arial"/>
          <w:bCs/>
          <w:sz w:val="20"/>
        </w:rPr>
      </w:pPr>
      <w:r>
        <w:rPr>
          <w:rFonts w:cs="Arial" w:ascii="Arial" w:hAnsi="Arial"/>
          <w:bCs/>
          <w:sz w:val="20"/>
        </w:rPr>
        <w:t>4.-  A reclamar respecto de la calidad del servicio, cobros no contratados, elevaciones de tarifas, irregularidades en relación a la prestación del servicio ante la Defensoría del Pueblo y/o Superintendencia de Telecomunicaciones.</w:t>
      </w:r>
    </w:p>
    <w:p>
      <w:pPr>
        <w:pStyle w:val="Textoindependiente31"/>
        <w:rPr/>
      </w:pPr>
      <w:r>
        <w:rPr>
          <w:rFonts w:cs="Arial" w:ascii="Arial" w:hAnsi="Arial"/>
          <w:bCs/>
          <w:sz w:val="20"/>
        </w:rPr>
        <w:t xml:space="preserve">5.-  A reclamar de manera integral por los problemas de calidad tanto del Acceso a la Red Internet, así como por las deficiencias en el enlace, en los casos en que aparezca como revendedor del servicio portador.  En este último caso, responderá </w:t>
      </w:r>
      <w:r>
        <w:rPr>
          <w:rFonts w:cs="Arial" w:ascii="Arial" w:hAnsi="Arial"/>
          <w:bCs/>
          <w:iCs/>
          <w:sz w:val="20"/>
          <w:szCs w:val="20"/>
          <w:lang w:val="es-ES_tradnl"/>
        </w:rPr>
        <w:t>NEDETEL</w:t>
      </w:r>
      <w:r>
        <w:rPr>
          <w:rFonts w:cs="Arial" w:ascii="Arial" w:hAnsi="Arial"/>
          <w:iCs/>
          <w:sz w:val="20"/>
          <w:lang w:val="es-ES"/>
        </w:rPr>
        <w:t xml:space="preserve"> </w:t>
      </w:r>
      <w:r>
        <w:rPr>
          <w:rFonts w:cs="Arial" w:ascii="Arial" w:hAnsi="Arial"/>
          <w:bCs/>
          <w:sz w:val="20"/>
        </w:rPr>
        <w:t>plenamente  a su abonado conforme a la Ley Orgánica de Defensa del Consumidor, (independientemente de los acuerdos existentes entre los operadores o las responsabilidades ante las autoridades de telecomunicaciones).</w:t>
      </w:r>
    </w:p>
    <w:p>
      <w:pPr>
        <w:pStyle w:val="Textoindependiente31"/>
        <w:rPr/>
      </w:pPr>
      <w:r>
        <w:rPr>
          <w:rFonts w:cs="Arial" w:ascii="Arial" w:hAnsi="Arial"/>
          <w:bCs/>
          <w:sz w:val="20"/>
        </w:rPr>
        <w:t xml:space="preserve">6.- </w:t>
      </w:r>
      <w:r>
        <w:rPr>
          <w:rFonts w:cs="Arial" w:ascii="Arial" w:hAnsi="Arial"/>
          <w:bCs/>
          <w:iCs/>
          <w:sz w:val="20"/>
          <w:szCs w:val="20"/>
          <w:lang w:val="es-ES_tradnl"/>
        </w:rPr>
        <w:t>NEDETEL</w:t>
      </w:r>
      <w:r>
        <w:rPr>
          <w:rFonts w:cs="Arial" w:ascii="Arial" w:hAnsi="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pPr>
        <w:pStyle w:val="Textoindependiente31"/>
        <w:rPr/>
      </w:pPr>
      <w:r>
        <w:rPr>
          <w:rFonts w:cs="Arial" w:ascii="Arial" w:hAnsi="Arial"/>
          <w:b/>
          <w:bCs/>
          <w:sz w:val="20"/>
        </w:rPr>
        <w:t xml:space="preserve">QUINTA: PLAZO DE VIGENCIA.- </w:t>
      </w:r>
      <w:r>
        <w:rPr>
          <w:rFonts w:cs="Arial" w:ascii="Arial" w:hAnsi="Arial"/>
          <w:sz w:val="20"/>
        </w:rPr>
        <w:t xml:space="preserve">El presente contrato, tendrá un plazo de vigencia de 12 meses, contados a partir de la fecha de suscripción del presente contrato.  </w:t>
      </w:r>
      <w:r>
        <w:rPr>
          <w:rFonts w:cs="Arial" w:ascii="Arial" w:hAnsi="Arial"/>
          <w:iCs/>
          <w:sz w:val="20"/>
          <w:lang w:val="es-ES"/>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pPr>
        <w:pStyle w:val="Sangra3detindependiente1"/>
        <w:ind w:left="0" w:right="0" w:hanging="0"/>
        <w:rPr>
          <w:rFonts w:ascii="Arial" w:hAnsi="Arial" w:cs="Arial"/>
          <w:b/>
          <w:b/>
          <w:iCs/>
          <w:sz w:val="20"/>
          <w:lang w:val="es-ES"/>
        </w:rPr>
      </w:pPr>
      <w:r>
        <w:rPr>
          <w:rFonts w:cs="Arial" w:ascii="Arial" w:hAnsi="Arial"/>
          <w:b/>
          <w:iCs/>
          <w:sz w:val="20"/>
          <w:lang w:val="es-ES"/>
        </w:rPr>
        <w:t xml:space="preserve">SEXTA:   CALIDAD DEL SERVICIO.- </w:t>
      </w:r>
    </w:p>
    <w:p>
      <w:pPr>
        <w:pStyle w:val="Sangra3detindependiente1"/>
        <w:ind w:left="0" w:right="0" w:hanging="0"/>
        <w:rPr>
          <w:rFonts w:ascii="Arial" w:hAnsi="Arial" w:cs="Arial"/>
          <w:iCs/>
          <w:sz w:val="20"/>
          <w:lang w:val="es-ES"/>
        </w:rPr>
      </w:pPr>
      <w:r>
        <w:rPr>
          <w:rFonts w:cs="Arial" w:ascii="Arial" w:hAnsi="Arial"/>
          <w:iCs/>
          <w:sz w:val="20"/>
          <w:lang w:val="es-ES"/>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pPr>
        <w:pStyle w:val="Sangra3detindependiente1"/>
        <w:ind w:left="0" w:right="0" w:hanging="0"/>
        <w:rPr>
          <w:rFonts w:ascii="Arial" w:hAnsi="Arial" w:cs="Arial"/>
          <w:iCs/>
          <w:sz w:val="20"/>
          <w:szCs w:val="16"/>
          <w:lang w:val="es-ES"/>
        </w:rPr>
      </w:pPr>
      <w:r>
        <w:rPr>
          <w:rFonts w:cs="Arial" w:ascii="Arial" w:hAnsi="Arial"/>
          <w:iCs/>
          <w:sz w:val="20"/>
          <w:szCs w:val="16"/>
          <w:lang w:val="es-ES"/>
        </w:rPr>
        <w:t>SERVICIO DE INTERNET DEDICADO tenderá: Disponibilidad 99,6% mensual calculada sobre la base de 720 horas al mes.</w:t>
      </w:r>
    </w:p>
    <w:p>
      <w:pPr>
        <w:pStyle w:val="Normal"/>
        <w:jc w:val="both"/>
        <w:rPr>
          <w:rFonts w:cs="Arial"/>
          <w:iCs/>
          <w:szCs w:val="20"/>
          <w:lang w:val="es-ES"/>
        </w:rPr>
      </w:pPr>
      <w:r>
        <w:rPr>
          <w:rFonts w:cs="Arial"/>
          <w:iCs/>
          <w:szCs w:val="20"/>
          <w:lang w:val="es-ES"/>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jc w:val="both"/>
        <w:rPr/>
      </w:pPr>
      <w:r>
        <w:rPr>
          <w:rFonts w:cs="Arial"/>
          <w:lang w:val="es-ES"/>
        </w:rP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pPr>
        <w:pStyle w:val="Normal"/>
        <w:jc w:val="both"/>
        <w:rPr/>
      </w:pPr>
      <w:r>
        <w:rPr>
          <w:rFonts w:cs="Arial"/>
          <w:iCs/>
          <w:szCs w:val="20"/>
          <w:lang w:val="es-ES"/>
        </w:rPr>
        <w:t xml:space="preserve">El Departamento Técnico de </w:t>
      </w:r>
      <w:r>
        <w:rPr>
          <w:rFonts w:cs="Arial"/>
          <w:iCs/>
          <w:szCs w:val="20"/>
          <w:lang w:val="es-ES_tradnl"/>
        </w:rPr>
        <w:t>NEDETEL</w:t>
      </w:r>
      <w:r>
        <w:rPr>
          <w:rFonts w:cs="Arial"/>
          <w:iCs/>
          <w:szCs w:val="20"/>
          <w:lang w:val="es-ES"/>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pPr>
        <w:pStyle w:val="Normal"/>
        <w:jc w:val="both"/>
        <w:rPr>
          <w:rFonts w:cs="Arial"/>
          <w:iCs/>
          <w:szCs w:val="20"/>
          <w:lang w:val="es-ES"/>
        </w:rPr>
      </w:pPr>
      <w:r>
        <w:rPr>
          <w:rFonts w:cs="Arial"/>
          <w:iCs/>
          <w:szCs w:val="20"/>
          <w:lang w:val="es-ES"/>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jc w:val="both"/>
        <w:rPr/>
      </w:pPr>
      <w:r>
        <w:rPr>
          <w:rFonts w:cs="Arial"/>
          <w:b/>
          <w:iCs/>
          <w:szCs w:val="20"/>
        </w:rPr>
        <w:t xml:space="preserve">SEPTIMA.- MANTENIMIENTO PREVENTIVO Y CORRECTIVO Y UTILIZACIÓN DE LA INFRAESTRUCTURA: </w:t>
      </w:r>
      <w:r>
        <w:rPr>
          <w:rFonts w:cs="Arial"/>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rFonts w:cs="Arial"/>
          <w:iCs/>
          <w:szCs w:val="20"/>
          <w:lang w:val="es-ES_tradnl"/>
        </w:rPr>
        <w:t>NEDETEL</w:t>
      </w:r>
      <w:r>
        <w:rPr>
          <w:rFonts w:cs="Arial"/>
          <w:iCs/>
          <w:szCs w:val="20"/>
          <w:lang w:val="es-ES"/>
        </w:rPr>
        <w:t xml:space="preserve">  </w:t>
      </w:r>
      <w:r>
        <w:rPr>
          <w:rFonts w:cs="Arial"/>
          <w:bCs/>
          <w:iCs/>
          <w:szCs w:val="20"/>
        </w:rPr>
        <w:t xml:space="preserve">instale en la(s)  ubicación (nes) del CLIENTE debe(n) ser conectados a un toma de UPS provista por el CLIENTE.  </w:t>
      </w:r>
    </w:p>
    <w:p>
      <w:pPr>
        <w:pStyle w:val="Normal"/>
        <w:jc w:val="both"/>
        <w:rPr>
          <w:rFonts w:cs="Arial"/>
          <w:iCs/>
          <w:szCs w:val="20"/>
          <w:lang w:val="es-ES"/>
        </w:rPr>
      </w:pPr>
      <w:r>
        <w:rPr>
          <w:rFonts w:cs="Arial"/>
          <w:iCs/>
          <w:szCs w:val="20"/>
          <w:lang w:val="es-ES"/>
        </w:rPr>
        <w:t>En casos de interrupción en la prestación del servicio se reintegrará o compensará al abonado conforme a la Ley Orgánica de Defensa del Consumidor y su Reglamento.</w:t>
      </w:r>
    </w:p>
    <w:p>
      <w:pPr>
        <w:pStyle w:val="Cuerpodetexto"/>
        <w:rPr/>
      </w:pPr>
      <w:r>
        <w:rPr>
          <w:rFonts w:cs="Arial" w:ascii="Arial" w:hAnsi="Arial"/>
          <w:b/>
          <w:iCs/>
          <w:sz w:val="20"/>
          <w:lang w:val="es-ES"/>
        </w:rPr>
        <w:t xml:space="preserve">OCTAVA.-TERMINACION: </w:t>
      </w:r>
      <w:r>
        <w:rPr>
          <w:rFonts w:cs="Arial" w:ascii="Arial" w:hAnsi="Arial"/>
          <w:iCs/>
          <w:sz w:val="20"/>
          <w:lang w:val="es-ES"/>
        </w:rPr>
        <w:t>El presente contrato terminará por las siguientes causas:</w:t>
      </w:r>
    </w:p>
    <w:p>
      <w:pPr>
        <w:pStyle w:val="Cuerpodetexto"/>
        <w:numPr>
          <w:ilvl w:val="0"/>
          <w:numId w:val="3"/>
        </w:numPr>
        <w:rPr>
          <w:rFonts w:ascii="Arial" w:hAnsi="Arial" w:cs="Arial"/>
          <w:iCs/>
          <w:sz w:val="20"/>
          <w:lang w:val="es-ES"/>
        </w:rPr>
      </w:pPr>
      <w:r>
        <w:rPr>
          <w:rFonts w:cs="Arial" w:ascii="Arial" w:hAnsi="Arial"/>
          <w:iCs/>
          <w:sz w:val="20"/>
          <w:lang w:val="es-ES"/>
        </w:rPr>
        <w:t>Por mutuo acuerdo de las partes</w:t>
      </w:r>
    </w:p>
    <w:p>
      <w:pPr>
        <w:pStyle w:val="Cuerpodetexto"/>
        <w:numPr>
          <w:ilvl w:val="0"/>
          <w:numId w:val="3"/>
        </w:numPr>
        <w:rPr>
          <w:rFonts w:ascii="Arial" w:hAnsi="Arial" w:cs="Arial"/>
          <w:iCs/>
          <w:sz w:val="20"/>
          <w:lang w:val="es-ES"/>
        </w:rPr>
      </w:pPr>
      <w:r>
        <w:rPr>
          <w:rFonts w:cs="Arial" w:ascii="Arial" w:hAnsi="Arial"/>
          <w:iCs/>
          <w:sz w:val="20"/>
          <w:lang w:val="es-ES"/>
        </w:rPr>
        <w:t>Por incumplimiento de las obligaciones contractuales.</w:t>
      </w:r>
    </w:p>
    <w:p>
      <w:pPr>
        <w:pStyle w:val="Cuerpodetexto"/>
        <w:numPr>
          <w:ilvl w:val="0"/>
          <w:numId w:val="3"/>
        </w:numPr>
        <w:rPr>
          <w:rFonts w:ascii="Arial" w:hAnsi="Arial" w:cs="Arial"/>
          <w:iCs/>
          <w:sz w:val="20"/>
          <w:lang w:val="es-ES"/>
        </w:rPr>
      </w:pPr>
      <w:r>
        <w:rPr>
          <w:rFonts w:cs="Arial" w:ascii="Arial" w:hAnsi="Arial"/>
          <w:iCs/>
          <w:sz w:val="20"/>
          <w:lang w:val="es-ES"/>
        </w:rPr>
        <w:t xml:space="preserve">Por vencimiento del plazo de vigencia previa comunicación de alguna de las partes; </w:t>
      </w:r>
    </w:p>
    <w:p>
      <w:pPr>
        <w:pStyle w:val="Cuerpodetexto"/>
        <w:numPr>
          <w:ilvl w:val="0"/>
          <w:numId w:val="3"/>
        </w:numPr>
        <w:rPr>
          <w:rFonts w:ascii="Arial" w:hAnsi="Arial" w:cs="Arial"/>
          <w:iCs/>
          <w:sz w:val="20"/>
          <w:lang w:val="es-ES"/>
        </w:rPr>
      </w:pPr>
      <w:r>
        <w:rPr>
          <w:rFonts w:cs="Arial" w:ascii="Arial" w:hAnsi="Arial"/>
          <w:iCs/>
          <w:sz w:val="20"/>
          <w:lang w:val="es-ES"/>
        </w:rPr>
        <w:t>Por causas de fuerza mayor o caso fortuito debidamente comprobado;</w:t>
      </w:r>
    </w:p>
    <w:p>
      <w:pPr>
        <w:pStyle w:val="Cuerpodetexto"/>
        <w:numPr>
          <w:ilvl w:val="0"/>
          <w:numId w:val="3"/>
        </w:numPr>
        <w:rPr>
          <w:rFonts w:ascii="Arial" w:hAnsi="Arial" w:cs="Arial"/>
          <w:iCs/>
          <w:sz w:val="20"/>
          <w:lang w:val="es-ES"/>
        </w:rPr>
      </w:pPr>
      <w:r>
        <w:rPr>
          <w:rFonts w:cs="Arial" w:ascii="Arial" w:hAnsi="Arial"/>
          <w:iCs/>
          <w:sz w:val="20"/>
          <w:lang w:val="es-ES"/>
        </w:rPr>
        <w:t xml:space="preserve">Por falta de pago por más de 60 días por parte del Cliente al  Permisionario. </w:t>
      </w:r>
    </w:p>
    <w:p>
      <w:pPr>
        <w:pStyle w:val="Cuerpodetexto"/>
        <w:numPr>
          <w:ilvl w:val="0"/>
          <w:numId w:val="3"/>
        </w:numPr>
        <w:rPr>
          <w:rFonts w:ascii="Arial" w:hAnsi="Arial" w:cs="Arial"/>
          <w:iCs/>
          <w:sz w:val="20"/>
          <w:lang w:val="es-ES"/>
        </w:rPr>
      </w:pPr>
      <w:r>
        <w:rPr>
          <w:rFonts w:cs="Arial" w:ascii="Arial" w:hAnsi="Arial"/>
          <w:iCs/>
          <w:sz w:val="20"/>
          <w:lang w:val="es-ES"/>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pPr>
        <w:pStyle w:val="Cuerpodetexto"/>
        <w:numPr>
          <w:ilvl w:val="0"/>
          <w:numId w:val="3"/>
        </w:numPr>
        <w:rPr>
          <w:rFonts w:ascii="Arial" w:hAnsi="Arial" w:cs="Arial"/>
          <w:iCs/>
          <w:sz w:val="20"/>
          <w:lang w:val="es-ES"/>
        </w:rPr>
      </w:pPr>
      <w:r>
        <w:rPr>
          <w:rFonts w:cs="Arial" w:ascii="Arial" w:hAnsi="Arial"/>
          <w:iCs/>
          <w:sz w:val="20"/>
          <w:lang w:val="es-ES"/>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pPr>
        <w:pStyle w:val="Ttulo1"/>
        <w:numPr>
          <w:ilvl w:val="0"/>
          <w:numId w:val="2"/>
        </w:numPr>
        <w:tabs>
          <w:tab w:val="left" w:pos="0" w:leader="none"/>
          <w:tab w:val="left" w:pos="360" w:leader="none"/>
        </w:tabs>
        <w:ind w:left="0" w:right="0" w:hanging="0"/>
        <w:rPr>
          <w:rFonts w:ascii="Arial" w:hAnsi="Arial" w:cs="Arial"/>
          <w:iCs/>
          <w:sz w:val="20"/>
        </w:rPr>
      </w:pPr>
      <w:r>
        <w:rPr>
          <w:rFonts w:cs="Arial" w:ascii="Arial" w:hAnsi="Arial"/>
          <w:iCs/>
          <w:sz w:val="20"/>
        </w:rPr>
        <w:t xml:space="preserve">NOVENA.- OBLIGACIONES DE LAS PARTES: </w:t>
      </w:r>
    </w:p>
    <w:p>
      <w:pPr>
        <w:pStyle w:val="Ttulo1"/>
        <w:numPr>
          <w:ilvl w:val="0"/>
          <w:numId w:val="2"/>
        </w:numPr>
        <w:tabs>
          <w:tab w:val="left" w:pos="0" w:leader="none"/>
          <w:tab w:val="left" w:pos="360" w:leader="none"/>
        </w:tabs>
        <w:rPr/>
      </w:pPr>
      <w:r>
        <w:rPr>
          <w:rFonts w:eastAsia="Calibri" w:cs="Calibri" w:ascii="Calibri" w:hAnsi="Calibri"/>
          <w:iCs/>
          <w:sz w:val="20"/>
          <w:lang w:val="es-ES"/>
        </w:rPr>
        <w:t xml:space="preserve"> </w:t>
      </w:r>
      <w:r>
        <w:rPr>
          <w:rFonts w:eastAsia="Calibri" w:cs="Arial" w:ascii="Arial" w:hAnsi="Arial"/>
          <w:iCs/>
          <w:sz w:val="20"/>
          <w:szCs w:val="20"/>
          <w:lang w:val="es-ES_tradnl"/>
        </w:rPr>
        <w:t>NEDETEL</w:t>
      </w:r>
      <w:r>
        <w:rPr>
          <w:rFonts w:cs="Arial" w:ascii="Arial" w:hAnsi="Arial"/>
          <w:iCs/>
          <w:sz w:val="20"/>
          <w:lang w:val="es-ES"/>
        </w:rPr>
        <w:t xml:space="preserve"> </w:t>
      </w:r>
      <w:r>
        <w:rPr>
          <w:rFonts w:cs="Arial" w:ascii="Arial" w:hAnsi="Arial"/>
          <w:b w:val="false"/>
          <w:iCs/>
          <w:sz w:val="20"/>
        </w:rPr>
        <w:t>se obliga a lo siguiente</w:t>
      </w:r>
      <w:r>
        <w:rPr>
          <w:rFonts w:cs="Arial" w:ascii="Arial" w:hAnsi="Arial"/>
          <w:iCs/>
          <w:sz w:val="20"/>
        </w:rPr>
        <w:t>:</w:t>
      </w:r>
    </w:p>
    <w:p>
      <w:pPr>
        <w:pStyle w:val="Ttulo1"/>
        <w:numPr>
          <w:ilvl w:val="0"/>
          <w:numId w:val="2"/>
        </w:numPr>
        <w:ind w:left="360" w:right="0" w:hanging="360"/>
        <w:rPr>
          <w:rFonts w:ascii="Arial" w:hAnsi="Arial" w:cs="Arial"/>
          <w:b w:val="false"/>
          <w:b w:val="false"/>
          <w:bCs/>
          <w:iCs/>
          <w:sz w:val="20"/>
        </w:rPr>
      </w:pPr>
      <w:r>
        <w:rPr>
          <w:rFonts w:cs="Arial" w:ascii="Arial" w:hAnsi="Arial"/>
          <w:b w:val="false"/>
          <w:bCs/>
          <w:iCs/>
          <w:sz w:val="20"/>
        </w:rPr>
        <w:t xml:space="preserve">Proporcionar el mantenimiento preventivo y correctivo, ordinario y extraordinario y el servicio  de configuración respectivo. </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Al pago de las indemnizaciones por no cumplimiento de los niveles de calidad estipulados en el presente contrato.</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confidencialidad de las telecomunicaciones en el servicio prestado al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reserva de la información personal y personalísima del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 xml:space="preserve">Las que constan en el Reglamento para la Prestación de Servicios de Valor Agregado y sus modificaciones. </w:t>
      </w:r>
    </w:p>
    <w:p>
      <w:pPr>
        <w:pStyle w:val="Normal"/>
        <w:numPr>
          <w:ilvl w:val="0"/>
          <w:numId w:val="4"/>
        </w:numPr>
        <w:tabs>
          <w:tab w:val="left" w:pos="360" w:leader="none"/>
        </w:tabs>
        <w:ind w:left="360" w:right="0" w:hanging="360"/>
        <w:jc w:val="both"/>
        <w:rPr>
          <w:rFonts w:cs="Arial"/>
          <w:b/>
          <w:b/>
          <w:szCs w:val="20"/>
        </w:rPr>
      </w:pPr>
      <w:r>
        <w:rPr>
          <w:rFonts w:cs="Arial"/>
          <w:b/>
          <w:szCs w:val="20"/>
        </w:rPr>
        <w:t>EL CLIENTE SE OBLIGA A:</w:t>
      </w:r>
    </w:p>
    <w:p>
      <w:pPr>
        <w:pStyle w:val="Normal"/>
        <w:numPr>
          <w:ilvl w:val="0"/>
          <w:numId w:val="4"/>
        </w:numPr>
        <w:tabs>
          <w:tab w:val="left" w:pos="360" w:leader="none"/>
        </w:tabs>
        <w:ind w:left="360" w:right="0" w:hanging="360"/>
        <w:jc w:val="both"/>
        <w:rPr>
          <w:rFonts w:cs="Arial"/>
          <w:szCs w:val="20"/>
        </w:rPr>
      </w:pPr>
      <w:r>
        <w:rPr>
          <w:rFonts w:cs="Arial"/>
          <w:szCs w:val="20"/>
        </w:rPr>
        <w:t xml:space="preserve">Manejo, mantenimiento, reparación y/o adecuación de los equipos que son parte de su red; </w:t>
      </w:r>
    </w:p>
    <w:p>
      <w:pPr>
        <w:pStyle w:val="Normal"/>
        <w:numPr>
          <w:ilvl w:val="0"/>
          <w:numId w:val="4"/>
        </w:numPr>
        <w:tabs>
          <w:tab w:val="left" w:pos="360" w:leader="none"/>
        </w:tabs>
        <w:ind w:left="360" w:right="0" w:hanging="360"/>
        <w:jc w:val="both"/>
        <w:rPr>
          <w:rFonts w:cs="Arial"/>
          <w:szCs w:val="20"/>
        </w:rPr>
      </w:pPr>
      <w:r>
        <w:rPr>
          <w:rFonts w:cs="Arial"/>
          <w:szCs w:val="20"/>
        </w:rPr>
        <w:t>Que las instalaciones eléctricas dentro de su infraestructura cuenten con energía eléctrica aterrizada y estabilizada;</w:t>
      </w:r>
    </w:p>
    <w:p>
      <w:pPr>
        <w:pStyle w:val="Normal"/>
        <w:numPr>
          <w:ilvl w:val="0"/>
          <w:numId w:val="5"/>
        </w:numPr>
        <w:jc w:val="both"/>
        <w:rPr>
          <w:rFonts w:cs="Arial"/>
          <w:iCs/>
          <w:szCs w:val="20"/>
          <w:lang w:val="es-ES"/>
        </w:rPr>
      </w:pPr>
      <w:r>
        <w:rPr>
          <w:rFonts w:cs="Arial"/>
          <w:iCs/>
          <w:szCs w:val="20"/>
          <w:lang w:val="es-ES"/>
        </w:rPr>
        <w:t>Prestar las facilidades al personal de PROVEEDOR para la instalación, reparación, soporte o revisión de servicio.</w:t>
      </w:r>
    </w:p>
    <w:p>
      <w:pPr>
        <w:pStyle w:val="Normal"/>
        <w:numPr>
          <w:ilvl w:val="0"/>
          <w:numId w:val="5"/>
        </w:numPr>
        <w:jc w:val="both"/>
        <w:rPr/>
      </w:pPr>
      <w:r>
        <w:rPr>
          <w:rFonts w:cs="Arial"/>
          <w:szCs w:val="20"/>
        </w:rPr>
        <w:t xml:space="preserve">Que el (los) equipo(s) que </w:t>
      </w:r>
      <w:r>
        <w:rPr>
          <w:rFonts w:cs="Arial"/>
          <w:iCs/>
          <w:sz w:val="20"/>
          <w:szCs w:val="20"/>
          <w:lang w:val="es-ES_tradnl"/>
        </w:rPr>
        <w:t>NEDETEL</w:t>
      </w:r>
      <w:r>
        <w:rPr>
          <w:rFonts w:cs="Arial"/>
          <w:iCs/>
          <w:szCs w:val="20"/>
          <w:lang w:val="es-ES"/>
        </w:rPr>
        <w:t xml:space="preserve"> </w:t>
      </w:r>
      <w:r>
        <w:rPr>
          <w:rFonts w:cs="Arial"/>
          <w:szCs w:val="20"/>
        </w:rPr>
        <w:t>entregue a EL CLIENTE debe(n) ser conectado a un toma de UPS provista por este último, así como su debida custodia y responsabilidad.</w:t>
      </w:r>
    </w:p>
    <w:p>
      <w:pPr>
        <w:pStyle w:val="Normal"/>
        <w:numPr>
          <w:ilvl w:val="0"/>
          <w:numId w:val="5"/>
        </w:numPr>
        <w:jc w:val="both"/>
        <w:rPr/>
      </w:pPr>
      <w:r>
        <w:rPr>
          <w:rFonts w:cs="Arial"/>
          <w:szCs w:val="20"/>
          <w:lang w:val="es-ES"/>
        </w:rPr>
        <w:t>Pago oportuno e íntegro de los valores pactados en el presente contrato.</w:t>
      </w:r>
      <w:r>
        <w:rPr>
          <w:rFonts w:cs="Arial"/>
          <w:szCs w:val="20"/>
        </w:rPr>
        <w:t xml:space="preserve"> </w:t>
      </w:r>
    </w:p>
    <w:p>
      <w:pPr>
        <w:pStyle w:val="Normal"/>
        <w:jc w:val="both"/>
        <w:rPr>
          <w:rFonts w:cs="Arial"/>
          <w:b/>
          <w:b/>
          <w:iCs/>
          <w:szCs w:val="20"/>
          <w:lang w:val="es-ES"/>
        </w:rPr>
      </w:pPr>
      <w:r>
        <w:rPr>
          <w:rFonts w:cs="Arial"/>
          <w:b/>
          <w:iCs/>
          <w:szCs w:val="20"/>
          <w:lang w:val="es-ES"/>
        </w:rPr>
        <w:t>DECIMA. - CAMBIOS EN EL CONTRATO.-</w:t>
      </w:r>
    </w:p>
    <w:p>
      <w:pPr>
        <w:pStyle w:val="Normal"/>
        <w:jc w:val="both"/>
        <w:rPr>
          <w:rFonts w:cs="Arial"/>
          <w:iCs/>
          <w:szCs w:val="20"/>
          <w:lang w:val="es-ES"/>
        </w:rPr>
      </w:pPr>
      <w:r>
        <w:rPr>
          <w:rFonts w:cs="Arial"/>
          <w:iCs/>
          <w:szCs w:val="20"/>
          <w:lang w:val="es-ES"/>
        </w:rPr>
        <w:t xml:space="preserve">Si por alguna razón se reforman el reglamento o la ley que regula la prestación de los servicios de valor agregado e internet, el presente contrato podrá ser modificado en función de los cambios que se dieren, previa aprobación  y registro ante la SENATEL. </w:t>
      </w:r>
    </w:p>
    <w:p>
      <w:pPr>
        <w:pStyle w:val="Normal"/>
        <w:jc w:val="both"/>
        <w:rPr>
          <w:rFonts w:cs="Arial"/>
          <w:b/>
          <w:b/>
          <w:iCs/>
          <w:szCs w:val="20"/>
          <w:lang w:val="es-ES"/>
        </w:rPr>
      </w:pPr>
      <w:r>
        <w:rPr>
          <w:rFonts w:cs="Arial"/>
          <w:b/>
          <w:iCs/>
          <w:szCs w:val="20"/>
          <w:lang w:val="es-ES"/>
        </w:rPr>
        <w:t>UNDÉCIMA.- RESPONSABILIDAD</w:t>
      </w:r>
    </w:p>
    <w:p>
      <w:pPr>
        <w:pStyle w:val="Normal"/>
        <w:jc w:val="both"/>
        <w:rPr/>
      </w:pPr>
      <w:r>
        <w:rPr>
          <w:rFonts w:cs="Arial"/>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 xml:space="preserve">no será responsable de actuaciones dependan de su abonado. </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tendrá responsabilidad por la debida prestación del servicio contratado en las características y estándares pactados por las partes.</w:t>
      </w:r>
    </w:p>
    <w:p>
      <w:pPr>
        <w:pStyle w:val="Normal"/>
        <w:jc w:val="both"/>
        <w:rPr/>
      </w:pPr>
      <w:r>
        <w:rPr>
          <w:rFonts w:cs="Arial"/>
          <w:b/>
          <w:szCs w:val="20"/>
        </w:rPr>
        <w:t xml:space="preserve">DUODÉCIMA.- CONTROVERSIAS: </w:t>
      </w:r>
      <w:r>
        <w:rPr>
          <w:rFonts w:cs="Arial"/>
          <w:szCs w:val="20"/>
        </w:rPr>
        <w:t>Independientemente del juzgamiento de</w:t>
      </w:r>
      <w:r>
        <w:rPr>
          <w:rFonts w:cs="Arial"/>
          <w:b/>
          <w:szCs w:val="20"/>
        </w:rPr>
        <w:t xml:space="preserve"> </w:t>
      </w:r>
      <w:r>
        <w:rPr>
          <w:rFonts w:cs="Arial"/>
          <w:szCs w:val="20"/>
        </w:rPr>
        <w:t>infracciones conforme a</w:t>
      </w:r>
      <w:r>
        <w:rPr>
          <w:rFonts w:cs="Arial"/>
          <w:b/>
          <w:szCs w:val="20"/>
        </w:rPr>
        <w:t xml:space="preserve"> </w:t>
      </w:r>
      <w:r>
        <w:rPr>
          <w:rFonts w:cs="Arial"/>
          <w:bCs/>
          <w:szCs w:val="20"/>
        </w:rPr>
        <w:t>Ley Orgánica de Defensa del Consumidor, las partes acuerdan renunciar fuero y domicilio  y se someten por este contrato de manera expresa a los jueces ordinarios de lo civil del Cantón GUAYAQUIL, Provincia del GUAYAS</w:t>
      </w:r>
      <w:bookmarkStart w:id="0" w:name="_GoBack"/>
      <w:bookmarkEnd w:id="0"/>
      <w:r>
        <w:rPr>
          <w:rFonts w:cs="Arial"/>
          <w:bCs/>
          <w:szCs w:val="20"/>
        </w:rPr>
        <w:t xml:space="preserve">. </w:t>
      </w:r>
    </w:p>
    <w:p>
      <w:pPr>
        <w:pStyle w:val="Normal"/>
        <w:jc w:val="both"/>
        <w:rPr>
          <w:rFonts w:cs="Arial"/>
          <w:iCs/>
          <w:szCs w:val="20"/>
          <w:lang w:val="es-ES"/>
        </w:rPr>
      </w:pPr>
      <w:r>
        <w:rPr>
          <w:rFonts w:cs="Arial"/>
          <w:iCs/>
          <w:szCs w:val="20"/>
          <w:lang w:val="es-ES"/>
        </w:rPr>
        <w:t>Para constancia de lo anterior las partes firman en dos  ejemplares este instrumento, que tienen el mismo tenor y valor; en el cantón Guayaquil, martes 06 de marzo de 2018.</w:t>
      </w:r>
    </w:p>
    <w:p>
      <w:pPr>
        <w:sectPr>
          <w:type w:val="continuous"/>
          <w:pgSz w:w="11906" w:h="16838"/>
          <w:pgMar w:left="851" w:right="974" w:header="720" w:top="777" w:footer="720" w:bottom="777" w:gutter="0"/>
          <w:cols w:num="2" w:space="708" w:equalWidth="true" w:sep="false"/>
          <w:formProt w:val="false"/>
          <w:textDirection w:val="lrTb"/>
          <w:docGrid w:type="default" w:linePitch="360" w:charSpace="0"/>
        </w:sectPr>
      </w:pPr>
    </w:p>
    <w:p>
      <w:pPr>
        <w:pStyle w:val="Normal"/>
        <w:jc w:val="both"/>
        <w:rPr>
          <w:rFonts w:cs="Arial"/>
          <w:iCs/>
          <w:szCs w:val="20"/>
          <w:lang w:val="es-ES"/>
        </w:rPr>
      </w:pPr>
      <w:r>
        <w:rPr>
          <w:rFonts w:cs="Arial"/>
          <w:iCs/>
          <w:szCs w:val="20"/>
          <w:lang w:val="es-ES"/>
        </w:rPr>
      </w:r>
    </w:p>
    <w:p>
      <w:pPr>
        <w:pStyle w:val="Normal"/>
        <w:rPr>
          <w:rFonts w:cs="Arial"/>
          <w:iCs/>
          <w:szCs w:val="20"/>
          <w:lang w:val="es-ES"/>
        </w:rPr>
      </w:pPr>
      <w:r>
        <w:rPr>
          <w:rFonts w:cs="Arial"/>
          <w:iCs/>
          <w:szCs w:val="20"/>
          <w:lang w:val="es-ES"/>
        </w:rPr>
      </w:r>
    </w:p>
    <w:p>
      <w:pPr>
        <w:pStyle w:val="Normal"/>
        <w:jc w:val="center"/>
        <w:rPr>
          <w:rFonts w:cs="Arial"/>
          <w:iCs/>
          <w:szCs w:val="20"/>
          <w:lang w:val="es-ES"/>
        </w:rPr>
      </w:pPr>
      <w:r>
        <w:rPr>
          <w:rFonts w:cs="Arial"/>
          <w:iCs/>
          <w:szCs w:val="20"/>
          <w:lang w:val="es-ES"/>
        </w:rPr>
      </w:r>
    </w:p>
    <w:p>
      <w:pPr>
        <w:pStyle w:val="Normal"/>
        <w:rPr>
          <w:rFonts w:cs="Arial"/>
          <w:szCs w:val="20"/>
          <w:lang w:val="es-ES"/>
        </w:rPr>
      </w:pPr>
      <w:r>
        <w:rPr>
          <w:rFonts w:cs="Arial"/>
          <w:szCs w:val="20"/>
          <w:lang w:val="es-ES"/>
        </w:rPr>
      </w:r>
    </w:p>
    <w:p>
      <w:pPr>
        <w:pStyle w:val="Normal"/>
        <w:rPr>
          <w:rFonts w:cs="Arial"/>
          <w:szCs w:val="20"/>
          <w:lang w:val="es-EC" w:eastAsia="es-EC"/>
        </w:rPr>
      </w:pPr>
      <w:r>
        <w:rPr>
          <w:rFonts w:cs="Arial"/>
          <w:szCs w:val="20"/>
          <w:lang w:val="es-EC" w:eastAsia="es-EC"/>
        </w:rPr>
        <mc:AlternateContent>
          <mc:Choice Requires="wps">
            <w:drawing>
              <wp:anchor behindDoc="0" distT="0" distB="0" distL="89535" distR="89535" simplePos="0" locked="0" layoutInCell="1" allowOverlap="1" relativeHeight="8">
                <wp:simplePos x="0" y="0"/>
                <wp:positionH relativeFrom="column">
                  <wp:posOffset>121920</wp:posOffset>
                </wp:positionH>
                <wp:positionV relativeFrom="paragraph">
                  <wp:posOffset>276860</wp:posOffset>
                </wp:positionV>
                <wp:extent cx="6542405" cy="2816225"/>
                <wp:effectExtent l="0" t="0" r="0" b="0"/>
                <wp:wrapSquare wrapText="largest"/>
                <wp:docPr id="4" name="Marco1"/>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fillRef idx="0"/>
                        <a:effectRef idx="0"/>
                        <a:fontRef idx="minor"/>
                      </wps:style>
                      <wps:txb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Maximo Salinas</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wps:txbx>
                      <wps:bodyPr lIns="1800" rIns="1800" tIns="1800" bIns="1800">
                        <a:noAutofit/>
                      </wps:bodyPr>
                    </wps:wsp>
                  </a:graphicData>
                </a:graphic>
              </wp:anchor>
            </w:drawing>
          </mc:Choice>
          <mc:Fallback>
            <w:pict>
              <v:rect id="shape_0" ID="Marco1" fillcolor="white" stroked="f" style="position:absolute;margin-left:9.6pt;margin-top:21.8pt;width:515.05pt;height:221.65pt">
                <w10:wrap type="square"/>
                <v:fill o:detectmouseclick="t" type="solid" color2="black"/>
                <v:stroke color="#3465a4" joinstyle="round" endcap="flat"/>
                <v:textbo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Maximo Salinas</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v:textbox>
              </v:rect>
            </w:pict>
          </mc:Fallback>
        </mc:AlternateContent>
      </w:r>
    </w:p>
    <w:p>
      <w:pPr>
        <w:pStyle w:val="Normal"/>
        <w:rPr>
          <w:rFonts w:cs="Arial"/>
          <w:szCs w:val="20"/>
          <w:lang w:val="es-EC" w:eastAsia="es-EC"/>
        </w:rPr>
      </w:pPr>
      <w:r>
        <w:rPr>
          <w:rFonts w:cs="Arial"/>
          <w:szCs w:val="20"/>
          <w:lang w:val="es-EC" w:eastAsia="es-EC"/>
        </w:rPr>
      </w:r>
    </w:p>
    <w:p>
      <w:pPr>
        <w:pStyle w:val="Normal"/>
        <w:rPr>
          <w:rFonts w:cs="Arial"/>
          <w:szCs w:val="20"/>
          <w:lang w:val="es-EC" w:eastAsia="es-EC"/>
        </w:rPr>
      </w:pPr>
      <w:r>
        <w:rPr>
          <w:rFonts w:cs="Arial"/>
          <w:szCs w:val="20"/>
          <w:lang w:val="es-EC" w:eastAsia="es-EC"/>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6905" w:leader="none"/>
        </w:tabs>
        <w:rPr>
          <w:rFonts w:cs="Arial"/>
          <w:szCs w:val="20"/>
        </w:rPr>
      </w:pPr>
      <w:r>
        <w:rPr>
          <w:rFonts w:cs="Arial"/>
          <w:szCs w:val="20"/>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sectPr>
      <w:type w:val="continuous"/>
      <w:pgSz w:w="11906" w:h="16838"/>
      <w:pgMar w:left="851" w:right="974"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8504" w:leader="none"/>
        <w:tab w:val="right" w:pos="8505" w:leader="none"/>
      </w:tabs>
      <w:rPr>
        <w:rFonts w:ascii="Arial" w:hAnsi="Arial" w:cs="Arial"/>
        <w:lang w:val="es-EC" w:eastAsia="es-EC"/>
      </w:rPr>
    </w:pPr>
    <w:r>
      <w:rPr>
        <w:rFonts w:cs="Arial" w:ascii="Arial" w:hAnsi="Arial"/>
        <w:lang w:val="es-EC" w:eastAsia="es-EC"/>
      </w:rPr>
      <mc:AlternateContent>
        <mc:Choice Requires="wps">
          <w:drawing>
            <wp:anchor behindDoc="1" distT="0" distB="0" distL="0" distR="0" simplePos="0" locked="0" layoutInCell="1" allowOverlap="1" relativeHeight="7">
              <wp:simplePos x="0" y="0"/>
              <wp:positionH relativeFrom="column">
                <wp:posOffset>3209290</wp:posOffset>
              </wp:positionH>
              <wp:positionV relativeFrom="paragraph">
                <wp:posOffset>48895</wp:posOffset>
              </wp:positionV>
              <wp:extent cx="107315" cy="105410"/>
              <wp:effectExtent l="0" t="0" r="0" b="0"/>
              <wp:wrapSquare wrapText="largest"/>
              <wp:docPr id="2" name="Marco2"/>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fillRef idx="0"/>
                      <a:effectRef idx="0"/>
                      <a:fontRef idx="minor"/>
                    </wps:style>
                    <wps:txb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wps:txbx>
                    <wps:bodyPr lIns="1800" rIns="1800" tIns="1800" bIns="1800">
                      <a:noAutofit/>
                    </wps:bodyPr>
                  </wps:wsp>
                </a:graphicData>
              </a:graphic>
            </wp:anchor>
          </w:drawing>
        </mc:Choice>
        <mc:Fallback>
          <w:pict>
            <v:rect id="shape_0" ID="Marco2" fillcolor="white" stroked="f" style="position:absolute;margin-left:252.7pt;margin-top:3.85pt;width:8.35pt;height:8.2pt">
              <w10:wrap type="square"/>
              <v:fill o:detectmouseclick="t" type="solid" color2="black"/>
              <v:stroke color="#3465a4" joinstyle="round" endcap="flat"/>
              <v:textbo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Piedepgina"/>
      <w:rPr>
        <w:rFonts w:ascii="Arial" w:hAnsi="Arial" w:cs="Arial"/>
        <w:lang w:val="es-EC" w:eastAsia="es-EC"/>
      </w:rPr>
    </w:pPr>
    <w:r>
      <w:rPr>
        <w:rFonts w:cs="Arial" w:ascii="Arial" w:hAnsi="Arial"/>
        <w:lang w:val="es-EC" w:eastAsia="es-E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2"/>
        <w:lang w:val="es-ES" w:eastAsia="es-EC"/>
      </w:rPr>
    </w:pPr>
    <w:r>
      <w:rPr>
        <w:sz w:val="22"/>
        <w:lang w:val="es-ES" w:eastAsia="es-EC"/>
      </w:rPr>
      <mc:AlternateContent>
        <mc:Choice Requires="wps">
          <w:drawing>
            <wp:anchor behindDoc="1" distT="0" distB="0" distL="114935" distR="114935" simplePos="0" locked="0" layoutInCell="1" allowOverlap="1" relativeHeight="4">
              <wp:simplePos x="0" y="0"/>
              <wp:positionH relativeFrom="character">
                <wp:posOffset>0</wp:posOffset>
              </wp:positionH>
              <wp:positionV relativeFrom="line">
                <wp:posOffset>635</wp:posOffset>
              </wp:positionV>
              <wp:extent cx="1945005" cy="534035"/>
              <wp:effectExtent l="0" t="0" r="0" b="0"/>
              <wp:wrapNone/>
              <wp:docPr id="1" name="Rectangle 1"/>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pPr>
      <w:pStyle w:val="Cabecera"/>
      <w:rPr>
        <w:sz w:val="22"/>
        <w:lang w:val="es-ES" w:eastAsia="es-EC"/>
      </w:rPr>
    </w:pPr>
    <w:r>
      <w:rPr>
        <w:sz w:val="22"/>
        <w:lang w:val="es-ES" w:eastAsia="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rPr>
        <w:sz w:val="20"/>
        <w:iCs/>
        <w:rFonts w:ascii="Arial" w:hAnsi="Arial" w:cs="Times New Roman"/>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87"/>
        </w:tabs>
        <w:ind w:left="1287" w:hanging="360"/>
      </w:pPr>
      <w:rPr>
        <w:rFonts w:ascii="Symbol" w:hAnsi="Symbol" w:cs="Symbol" w:hint="default"/>
        <w:sz w:val="20"/>
        <w:b/>
        <w:szCs w:val="20"/>
        <w:rFonts w:cs="Symbol"/>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Cs w:val="20"/>
        <w:rFonts w:cs="Symbol"/>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C"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s-ES" w:eastAsia="zh-CN" w:bidi="ar-SA"/>
    </w:rPr>
  </w:style>
  <w:style w:type="paragraph" w:styleId="Ttulo1">
    <w:name w:val="Heading 1"/>
    <w:basedOn w:val="Normal"/>
    <w:next w:val="Normal"/>
    <w:qFormat/>
    <w:pPr>
      <w:keepNext w:val="true"/>
      <w:numPr>
        <w:ilvl w:val="0"/>
        <w:numId w:val="1"/>
      </w:numPr>
      <w:tabs>
        <w:tab w:val="left" w:pos="360" w:leader="none"/>
      </w:tabs>
      <w:ind w:left="360" w:right="0" w:hanging="0"/>
      <w:jc w:val="both"/>
      <w:outlineLvl w:val="0"/>
    </w:pPr>
    <w:rPr>
      <w:rFonts w:ascii="Bookman Old Style" w:hAnsi="Bookman Old Style" w:cs="Bookman Old Style"/>
      <w:b/>
      <w:sz w:val="24"/>
      <w:szCs w:val="20"/>
    </w:rPr>
  </w:style>
  <w:style w:type="paragraph" w:styleId="Ttulo2">
    <w:name w:val="Heading 2"/>
    <w:basedOn w:val="Normal"/>
    <w:next w:val="Normal"/>
    <w:qFormat/>
    <w:pPr>
      <w:keepNext w:val="true"/>
      <w:numPr>
        <w:ilvl w:val="1"/>
        <w:numId w:val="1"/>
      </w:numPr>
      <w:tabs>
        <w:tab w:val="left" w:pos="360" w:leader="none"/>
      </w:tabs>
      <w:ind w:left="360" w:right="0" w:hanging="0"/>
      <w:outlineLvl w:val="1"/>
    </w:pPr>
    <w:rPr>
      <w:i/>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Times New Roman"/>
      <w:iCs/>
      <w:sz w:val="20"/>
      <w:lang w:val="es-ES"/>
    </w:rPr>
  </w:style>
  <w:style w:type="character" w:styleId="WW8Num3z0">
    <w:name w:val="WW8Num3z0"/>
    <w:qFormat/>
    <w:rPr>
      <w:rFonts w:ascii="Symbol" w:hAnsi="Symbol" w:cs="Symbol"/>
      <w:sz w:val="20"/>
      <w:szCs w:val="20"/>
      <w:lang w:val="es-EC"/>
    </w:rPr>
  </w:style>
  <w:style w:type="character" w:styleId="WW8Num4z0">
    <w:name w:val="WW8Num4z0"/>
    <w:qFormat/>
    <w:rPr>
      <w:rFonts w:ascii="Symbol" w:hAnsi="Symbol" w:cs="Symbol"/>
      <w:szCs w:val="20"/>
      <w:lang w:val="es-ES"/>
    </w:rPr>
  </w:style>
  <w:style w:type="character" w:styleId="WW8Num5z0">
    <w:name w:val="WW8Num5z0"/>
    <w:qFormat/>
    <w:rPr>
      <w:rFonts w:ascii="Symbol" w:hAnsi="Symbol" w:cs="Symbol"/>
    </w:rPr>
  </w:style>
  <w:style w:type="character" w:styleId="WW8Num5z1">
    <w:name w:val="WW8Num5z1"/>
    <w:qFormat/>
    <w:rPr>
      <w:rFonts w:cs="Times New Roman"/>
    </w:rPr>
  </w:style>
  <w:style w:type="character" w:styleId="WW8Num6z0">
    <w:name w:val="WW8Num6z0"/>
    <w:qFormat/>
    <w:rPr>
      <w:rFonts w:ascii="Arial" w:hAnsi="Arial" w:cs="Times New Roman"/>
      <w:iCs/>
      <w:sz w:val="20"/>
      <w:lang w:val="es-ES"/>
    </w:rPr>
  </w:style>
  <w:style w:type="character" w:styleId="WW8Num6z1">
    <w:name w:val="WW8Num6z1"/>
    <w:qFormat/>
    <w:rPr>
      <w:rFonts w:cs="Times New Roman"/>
    </w:rPr>
  </w:style>
  <w:style w:type="character" w:styleId="WW8Num7z0">
    <w:name w:val="WW8Num7z0"/>
    <w:qFormat/>
    <w:rPr>
      <w:rFonts w:ascii="Symbol" w:hAnsi="Symbol" w:cs="Symbol"/>
      <w:sz w:val="20"/>
      <w:szCs w:val="20"/>
      <w:lang w:val="es-EC"/>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0"/>
      <w:lang w:val="es-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Fuentedeprrafopredeter">
    <w:name w:val="Fuente de párrafo predeter."/>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color w:val="000000"/>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8z0">
    <w:name w:val="WW8Num18z0"/>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Symbol" w:hAnsi="Symbol" w:cs="Symbol"/>
    </w:rPr>
  </w:style>
  <w:style w:type="character" w:styleId="Fuentedeprrafopredeter1">
    <w:name w:val="Fuente de párrafo predeter.1"/>
    <w:qFormat/>
    <w:rPr/>
  </w:style>
  <w:style w:type="character" w:styleId="Refdecomentario1">
    <w:name w:val="Ref. de comentario1"/>
    <w:qFormat/>
    <w:rPr>
      <w:sz w:val="16"/>
    </w:rPr>
  </w:style>
  <w:style w:type="character" w:styleId="EnlacedeInternet">
    <w:name w:val="Enlace de Internet"/>
    <w:rPr>
      <w:color w:val="0000FF"/>
      <w:u w:val="single"/>
    </w:rPr>
  </w:style>
  <w:style w:type="character" w:styleId="Nmerodepgina">
    <w:name w:val="Número de página"/>
    <w:rPr>
      <w:rFonts w:cs="Times New Roman"/>
    </w:rPr>
  </w:style>
  <w:style w:type="character" w:styleId="EnlacedeInternetvisitado">
    <w:name w:val="Enlace de Internet visitado"/>
    <w:rPr>
      <w:color w:val="800080"/>
      <w:u w:val="single"/>
    </w:rPr>
  </w:style>
  <w:style w:type="character" w:styleId="Refdecomentario">
    <w:name w:val="Ref. de comentario"/>
    <w:qFormat/>
    <w:rPr>
      <w:sz w:val="16"/>
    </w:rPr>
  </w:style>
  <w:style w:type="character" w:styleId="TextocomentarioCar">
    <w:name w:val="Texto comentario Car"/>
    <w:qFormat/>
    <w:rPr>
      <w:rFonts w:ascii="Arial" w:hAnsi="Arial" w:cs="Arial"/>
      <w:lang w:val="es-EC" w:bidi="ar-SA"/>
    </w:rPr>
  </w:style>
  <w:style w:type="character" w:styleId="AsuntodelcomentarioCar">
    <w:name w:val="Asunto del comentario Car"/>
    <w:qFormat/>
    <w:rPr>
      <w:rFonts w:ascii="Arial" w:hAnsi="Arial" w:cs="Arial"/>
      <w:b/>
      <w:lang w:val="es-EC" w:bidi="ar-SA"/>
    </w:rPr>
  </w:style>
  <w:style w:type="character" w:styleId="Destaquemayor">
    <w:name w:val="Destaque mayor"/>
    <w:qFormat/>
    <w:rPr>
      <w:b/>
      <w:bCs/>
    </w:rPr>
  </w:style>
  <w:style w:type="character" w:styleId="Appleconvertedspace">
    <w:name w:val="apple-converted-space"/>
    <w:qFormat/>
    <w:rPr/>
  </w:style>
  <w:style w:type="character" w:styleId="ListLabel1">
    <w:name w:val="ListLabel 1"/>
    <w:qFormat/>
    <w:rPr>
      <w:rFonts w:ascii="Arial" w:hAnsi="Arial" w:cs="Times New Roman"/>
      <w:iCs/>
      <w:sz w:val="20"/>
      <w:lang w:val="es-ES"/>
    </w:rPr>
  </w:style>
  <w:style w:type="character" w:styleId="ListLabel2">
    <w:name w:val="ListLabel 2"/>
    <w:qFormat/>
    <w:rPr>
      <w:rFonts w:cs="Symbol"/>
      <w:b/>
      <w:sz w:val="20"/>
      <w:szCs w:val="20"/>
      <w:lang w:val="es-EC"/>
    </w:rPr>
  </w:style>
  <w:style w:type="character" w:styleId="ListLabel3">
    <w:name w:val="ListLabel 3"/>
    <w:qFormat/>
    <w:rPr>
      <w:rFonts w:cs="Symbol"/>
      <w:szCs w:val="20"/>
      <w:lang w:val="es-ES"/>
    </w:rPr>
  </w:style>
  <w:style w:type="character" w:styleId="ListLabel4">
    <w:name w:val="ListLabel 4"/>
    <w:qFormat/>
    <w:rPr>
      <w:rFonts w:ascii="Arial" w:hAnsi="Arial" w:cs="Times New Roman"/>
      <w:iCs/>
      <w:sz w:val="20"/>
      <w:lang w:val="es-ES"/>
    </w:rPr>
  </w:style>
  <w:style w:type="character" w:styleId="ListLabel5">
    <w:name w:val="ListLabel 5"/>
    <w:qFormat/>
    <w:rPr>
      <w:rFonts w:cs="Symbol"/>
      <w:b/>
      <w:sz w:val="20"/>
      <w:szCs w:val="20"/>
      <w:lang w:val="es-EC"/>
    </w:rPr>
  </w:style>
  <w:style w:type="character" w:styleId="ListLabel6">
    <w:name w:val="ListLabel 6"/>
    <w:qFormat/>
    <w:rPr>
      <w:rFonts w:cs="Symbol"/>
      <w:szCs w:val="20"/>
      <w:lang w:val="es-ES"/>
    </w:rPr>
  </w:style>
  <w:style w:type="paragraph" w:styleId="Ttulo">
    <w:name w:val="Título"/>
    <w:basedOn w:val="Normal"/>
    <w:next w:val="Cuerpodetexto"/>
    <w:qFormat/>
    <w:pPr>
      <w:keepNext w:val="true"/>
      <w:spacing w:before="240" w:after="120"/>
    </w:pPr>
    <w:rPr>
      <w:rFonts w:cs="Tahoma"/>
      <w:sz w:val="28"/>
      <w:szCs w:val="28"/>
    </w:rPr>
  </w:style>
  <w:style w:type="paragraph" w:styleId="Cuerpodetexto">
    <w:name w:val="Body Text"/>
    <w:basedOn w:val="Normal"/>
    <w:pPr>
      <w:jc w:val="both"/>
    </w:pPr>
    <w:rPr>
      <w:rFonts w:ascii="Bookman Old Style" w:hAnsi="Bookman Old Style" w:cs="Bookman Old Style"/>
      <w:sz w:val="28"/>
      <w:szCs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Tahoma"/>
    </w:rPr>
  </w:style>
  <w:style w:type="paragraph" w:styleId="Epgrafe1">
    <w:name w:val="Epígrafe1"/>
    <w:basedOn w:val="Normal"/>
    <w:qFormat/>
    <w:pPr>
      <w:suppressLineNumbers/>
      <w:spacing w:before="120" w:after="120"/>
    </w:pPr>
    <w:rPr>
      <w:rFonts w:cs="Tahoma"/>
      <w:i/>
      <w:iCs/>
      <w:szCs w:val="20"/>
    </w:rPr>
  </w:style>
  <w:style w:type="paragraph" w:styleId="Textocomentario1">
    <w:name w:val="Texto comentario1"/>
    <w:basedOn w:val="Normal"/>
    <w:qFormat/>
    <w:pPr/>
    <w:rPr>
      <w:szCs w:val="20"/>
    </w:rPr>
  </w:style>
  <w:style w:type="paragraph" w:styleId="Textoindependiente21">
    <w:name w:val="Texto independiente 21"/>
    <w:basedOn w:val="Normal"/>
    <w:qFormat/>
    <w:pPr>
      <w:jc w:val="center"/>
    </w:pPr>
    <w:rPr>
      <w:rFonts w:ascii="Bookman Old Style" w:hAnsi="Bookman Old Style" w:cs="Bookman Old Style"/>
      <w:b/>
      <w:sz w:val="24"/>
      <w:szCs w:val="20"/>
    </w:rPr>
  </w:style>
  <w:style w:type="paragraph" w:styleId="Sangra3detindependiente1">
    <w:name w:val="Sangría 3 de t. independiente1"/>
    <w:basedOn w:val="Normal"/>
    <w:qFormat/>
    <w:pPr>
      <w:ind w:left="705" w:right="0" w:hanging="0"/>
      <w:jc w:val="both"/>
    </w:pPr>
    <w:rPr>
      <w:rFonts w:ascii="Bookman Old Style" w:hAnsi="Bookman Old Style" w:cs="Bookman Old Style"/>
      <w:sz w:val="24"/>
      <w:szCs w:val="20"/>
    </w:rPr>
  </w:style>
  <w:style w:type="paragraph" w:styleId="Textoindependiente31">
    <w:name w:val="Texto independiente 31"/>
    <w:basedOn w:val="Normal"/>
    <w:qFormat/>
    <w:pPr>
      <w:jc w:val="both"/>
    </w:pPr>
    <w:rPr>
      <w:rFonts w:ascii="Bookman Old Style" w:hAnsi="Bookman Old Style" w:cs="Bookman Old Style"/>
      <w:sz w:val="24"/>
      <w:szCs w:val="20"/>
    </w:rPr>
  </w:style>
  <w:style w:type="paragraph" w:styleId="Textopredeterminado">
    <w:name w:val="Texto predeterminado"/>
    <w:basedOn w:val="Normal"/>
    <w:qFormat/>
    <w:pPr/>
    <w:rPr>
      <w:rFonts w:ascii="Times New Roman" w:hAnsi="Times New Roman" w:cs="Times New Roman"/>
      <w:sz w:val="24"/>
      <w:szCs w:val="20"/>
      <w:lang w:val="en-US"/>
    </w:rPr>
  </w:style>
  <w:style w:type="paragraph" w:styleId="Cabecera">
    <w:name w:val="Header"/>
    <w:basedOn w:val="Normal"/>
    <w:pPr>
      <w:tabs>
        <w:tab w:val="center" w:pos="4153" w:leader="none"/>
        <w:tab w:val="right" w:pos="8306" w:leader="none"/>
      </w:tabs>
    </w:pPr>
    <w:rPr>
      <w:rFonts w:ascii="Times New Roman" w:hAnsi="Times New Roman" w:cs="Times New Roman"/>
      <w:szCs w:val="20"/>
      <w:lang w:val="en-US"/>
    </w:rPr>
  </w:style>
  <w:style w:type="paragraph" w:styleId="Piedepgina">
    <w:name w:val="Footer"/>
    <w:basedOn w:val="Normal"/>
    <w:pPr>
      <w:widowControl w:val="false"/>
      <w:tabs>
        <w:tab w:val="center" w:pos="4252" w:leader="none"/>
        <w:tab w:val="right" w:pos="8504" w:leader="none"/>
      </w:tabs>
    </w:pPr>
    <w:rPr>
      <w:rFonts w:ascii="Times New Roman" w:hAnsi="Times New Roman" w:cs="Times New Roman"/>
      <w:szCs w:val="20"/>
    </w:rPr>
  </w:style>
  <w:style w:type="paragraph" w:styleId="Piedepgina1">
    <w:name w:val="Pie de p‡gina"/>
    <w:basedOn w:val="Normal"/>
    <w:qFormat/>
    <w:pPr>
      <w:widowControl w:val="false"/>
      <w:tabs>
        <w:tab w:val="center" w:pos="4252" w:leader="none"/>
        <w:tab w:val="right" w:pos="8504" w:leader="none"/>
      </w:tabs>
    </w:pPr>
    <w:rPr>
      <w:rFonts w:ascii="Times New Roman" w:hAnsi="Times New Roman" w:cs="Times New Roman"/>
      <w:szCs w:val="20"/>
    </w:rPr>
  </w:style>
  <w:style w:type="paragraph" w:styleId="Textodeglobo">
    <w:name w:val="Texto de globo"/>
    <w:basedOn w:val="Normal"/>
    <w:qFormat/>
    <w:pPr/>
    <w:rPr>
      <w:rFonts w:ascii="Tahoma" w:hAnsi="Tahoma" w:cs="Tahoma"/>
      <w:sz w:val="16"/>
      <w:szCs w:val="16"/>
    </w:rPr>
  </w:style>
  <w:style w:type="paragraph" w:styleId="Mapadeldocumento1">
    <w:name w:val="Mapa del documento1"/>
    <w:basedOn w:val="Normal"/>
    <w:qFormat/>
    <w:pPr>
      <w:shd w:val="clear" w:fill="000080"/>
    </w:pPr>
    <w:rPr>
      <w:rFonts w:ascii="Tahoma" w:hAnsi="Tahoma" w:cs="Tahoma"/>
      <w:szCs w:val="2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ind w:left="720" w:right="0" w:hanging="0"/>
    </w:pPr>
    <w:rPr/>
  </w:style>
  <w:style w:type="paragraph" w:styleId="Textocomentario">
    <w:name w:val="Texto comentario"/>
    <w:basedOn w:val="Normal"/>
    <w:qFormat/>
    <w:pPr/>
    <w:rPr>
      <w:szCs w:val="20"/>
      <w:lang w:val="en-US"/>
    </w:rPr>
  </w:style>
  <w:style w:type="paragraph" w:styleId="Asuntodelcomentario">
    <w:name w:val="Asunto del comentario"/>
    <w:basedOn w:val="Textocomentario"/>
    <w:qFormat/>
    <w:pPr/>
    <w:rPr>
      <w:b/>
      <w:bCs/>
    </w:rPr>
  </w:style>
  <w:style w:type="paragraph" w:styleId="Xmsonormal">
    <w:name w:val="x_msonormal"/>
    <w:basedOn w:val="Normal"/>
    <w:qFormat/>
    <w:pPr>
      <w:suppressAutoHyphens w:val="false"/>
    </w:pPr>
    <w:rPr>
      <w:rFonts w:ascii="Times New Roman" w:hAnsi="Times New Roman" w:eastAsia="Calibri" w:cs="Times New Roman"/>
      <w:sz w:val="24"/>
      <w:lang w:val="es-EC"/>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LibreOffice_Vanilla/6.0.1.1$MacOSX_X86_64 LibreOffice_project/60bfb1526849283ce2491346ed2aa51c465abfe6</Application>
  <Pages>3</Pages>
  <Words>1974</Words>
  <Characters>10861</Characters>
  <CharactersWithSpaces>12854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2018-01-23T18:18:00Z</dcterms:created>
  <dc:creator>CETEG</dc:creator>
  <dc:description/>
  <dc:language>es-EC</dc:language>
  <cp:lastModifiedBy/>
  <cp:lastPrinted>2015-10-15T10:55:00Z</cp:lastPrinted>
  <dcterms:modified xsi:type="dcterms:W3CDTF">2018-02-17T07:06:54Z</dcterms:modified>
  <cp:revision>9</cp:revision>
  <dc:subject/>
  <dc:title>CONTRATO DE PRESTACIÓN DE SERVICIOS No</dc:title>
</cp:coreProperties>
</file>