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  <w:jc w:val="center"/>
      </w:pPr>
      <w:r>
        <w:rPr>
          <w:rFonts w:ascii="Arial" w:cs="Arial" w:eastAsia="Arial" w:hAnsi="Arial"/>
          <w:b/>
          <w:bCs/>
          <w:color w:val="2E4057"/>
          <w:sz w:val="40"/>
          <w:szCs w:val="40"/>
        </w:rPr>
        <w:t xml:space="preserve">ML Workflow Comparison &amp; Model Deployment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PyCaret (Low-Code) vs. Scikit-Learn (Manual) — Red Wine Quality Classification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Data Engineering Assignment  •  FastAPI Deployment  •  UCI ML Repository</w:t>
      </w:r>
    </w:p>
    <w:p>
      <w:pPr>
        <w:pStyle w:val="Heading1"/>
        <w:spacing w:after="160" w:before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Dataset Overview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Source: </w:t>
      </w:r>
      <w:r>
        <w:rPr>
          <w:rFonts w:ascii="Arial" w:cs="Arial" w:eastAsia="Arial" w:hAnsi="Arial"/>
          <w:sz w:val="22"/>
          <w:szCs w:val="22"/>
        </w:rPr>
        <w:t xml:space="preserve">UCI Machine Learning Repository — Red Wine Quality dataset (P. Cortez et al., 2009)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Rows: </w:t>
      </w:r>
      <w:r>
        <w:rPr>
          <w:rFonts w:ascii="Arial" w:cs="Arial" w:eastAsia="Arial" w:hAnsi="Arial"/>
          <w:sz w:val="22"/>
          <w:szCs w:val="22"/>
        </w:rPr>
        <w:t xml:space="preserve">1,599   |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Features: </w:t>
      </w:r>
      <w:r>
        <w:rPr>
          <w:rFonts w:ascii="Arial" w:cs="Arial" w:eastAsia="Arial" w:hAnsi="Arial"/>
          <w:sz w:val="22"/>
          <w:szCs w:val="22"/>
        </w:rPr>
        <w:t xml:space="preserve">11 physicochemical inputs   |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Target: </w:t>
      </w:r>
      <w:r>
        <w:rPr>
          <w:rFonts w:ascii="Arial" w:cs="Arial" w:eastAsia="Arial" w:hAnsi="Arial"/>
          <w:sz w:val="22"/>
          <w:szCs w:val="22"/>
        </w:rPr>
        <w:t xml:space="preserve">quality_label (low / medium / high)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60"/>
        <w:gridCol w:w="240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fixed_acidity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4.6 – 15.9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Tartaric acid (g/dm³)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volatile_acidity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0.12 – 1.58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Acetic acid (g/dm³)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citric_acid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 – 1.0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Citric acid (g/dm³)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alcohol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8.4 – 14.9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Alcohol % vol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quality_label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low/medium/high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variable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spacing w:after="160" w:before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PyCaret Workflow (Low-Code)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The PyCaret workflow used setup(), compare_models(), plot_model(), and save_model() to evaluate seven classifiers via 5-fold stratified cross-validation. The top 3 models by accuracy are highlighted in green.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2.1 Model Comparison Table</w:t>
      </w:r>
    </w:p>
    <w:p>
      <w:pPr>
        <w:spacing w:after="60"/>
        <w:jc w:val="center"/>
      </w:pPr>
      <w:r>
        <w:drawing>
          <wp:inline distT="0" distB="0" distL="0" distR="0">
            <wp:extent cx="5715000" cy="2000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1 — PyCaret compare_models() output. Top-3 models highlighted green. Logistic Regression ranked #1.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2.2 Confusion Matrix — Best Model (Logistic Regression)</w:t>
      </w:r>
    </w:p>
    <w:p>
      <w:pPr>
        <w:spacing w:after="60"/>
        <w:jc w:val="center"/>
      </w:pPr>
      <w:r>
        <w:drawing>
          <wp:inline distT="0" distB="0" distL="0" distR="0">
            <wp:extent cx="3619500" cy="2619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2 — Confusion matrix for Logistic Regression (PyCaret best model, 20% hold-out set).</w:t>
      </w:r>
    </w:p>
    <w:p>
      <w:pPr>
        <w:pStyle w:val="Heading1"/>
        <w:spacing w:after="160" w:before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Scikit-Learn Manual Workflow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The manual workflow explicitly implemented StandardScaler, LabelEncoder, train_test_split (80/20 stratified), and Logistic Regression — the best model identified by PyCaret. A classification_report and confusion matrix were generated.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3.1 Classification Report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755"/>
        <w:gridCol w:w="1755"/>
        <w:gridCol w:w="1755"/>
        <w:gridCol w:w="1755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Precision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Recall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F1-Score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Support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0.76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0.66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0.70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128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0.52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0.36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0.42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0.61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0.73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0.67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accuracy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0.65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320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macro avg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0.63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0.58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0.60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320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weighted avg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0.66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0.65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0.65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320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3.2 Confusion Matrix — Scikit-Learn</w:t>
      </w:r>
    </w:p>
    <w:p>
      <w:pPr>
        <w:spacing w:after="60"/>
        <w:jc w:val="center"/>
      </w:pPr>
      <w:r>
        <w:drawing>
          <wp:inline distT="0" distB="0" distL="0" distR="0">
            <wp:extent cx="3619500" cy="2619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3 — Confusion matrix from the manual scikit-learn implementation.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3.3 Feature Importance</w:t>
      </w:r>
    </w:p>
    <w:p>
      <w:pPr>
        <w:spacing w:after="60"/>
        <w:jc w:val="center"/>
      </w:pPr>
      <w:r>
        <w:drawing>
          <wp:inline distT="0" distB="0" distL="0" distR="0">
            <wp:extent cx="4191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4 — Mean absolute coefficient magnitudes (Logistic Regression). Alcohol and volatile_acidity are the strongest predictors.</w:t>
      </w:r>
    </w:p>
    <w:p>
      <w:pPr>
        <w:pStyle w:val="Heading1"/>
        <w:spacing w:after="160" w:before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Synthesis: Workflow Comparison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PyCaret workflow proved significantly more efficient for rapid model discovery. With just two function calls — setup() and compare_models() — PyCaret benchmarked seven algorithms across five metrics using stratified 5-fold cross-validation, all within seconds and with minimal boilerplate. The manual scikit-learn workflow required explicit preprocessing (StandardScaler, LabelEncoder), train/test splitting, per-model instantiation, cross_val_score calls, and separate classification_report generation — roughly 4× more code for the same breadth of evaluation.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Results differ slightly between workflows for two reasons. First, PyCaret's setup() applies its own preprocessing pipeline that may differ subtly from a manual StandardScaler-only approach. Second, PyCaret evaluates models on held-out fold predictions using its internal splitting logic, while the manual approach used a fixed 20% stratified test split. Despite these differences, both workflows agreed: Logistic Regression outperforms ensemble methods on this dataset, likely because the decision boundaries between quality classes are approximately linear once features are scaled. PyCaret's advantage is clear for iterative discovery; scikit-learn's advantage is reproducibility and fine-grained control for production.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CV Accuracy (5-fold): </w:t>
      </w:r>
      <w:r>
        <w:rPr>
          <w:rFonts w:ascii="Arial" w:cs="Arial" w:eastAsia="Arial" w:hAnsi="Arial"/>
          <w:sz w:val="22"/>
          <w:szCs w:val="22"/>
        </w:rPr>
        <w:t xml:space="preserve">0.6586 ± 0.0224   |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Test Accuracy: </w:t>
      </w:r>
      <w:r>
        <w:rPr>
          <w:rFonts w:ascii="Arial" w:cs="Arial" w:eastAsia="Arial" w:hAnsi="Arial"/>
          <w:sz w:val="22"/>
          <w:szCs w:val="22"/>
        </w:rPr>
        <w:t xml:space="preserve">0.6531   |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Best Model: </w:t>
      </w:r>
      <w:r>
        <w:rPr>
          <w:rFonts w:ascii="Arial" w:cs="Arial" w:eastAsia="Arial" w:hAnsi="Arial"/>
          <w:sz w:val="22"/>
          <w:szCs w:val="22"/>
        </w:rPr>
        <w:t xml:space="preserve">Logistic Regression</w:t>
      </w:r>
    </w:p>
    <w:p>
      <w:pPr>
        <w:pStyle w:val="Heading1"/>
        <w:spacing w:after="160" w:before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FastAPI Deployment — Swagger UI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The best pipeline was serialized with joblib and served via a FastAPI application (main.py). The API exposes three endpoints: GET / (health), GET /info (model metadata), and POST /predict (single prediction with class probabilities).</w:t>
      </w:r>
    </w:p>
    <w:p>
      <w:pPr>
        <w:spacing w:after="60"/>
        <w:jc w:val="center"/>
      </w:pPr>
      <w:r>
        <w:drawing>
          <wp:inline distT="0" distB="0" distL="0" distR="0">
            <wp:extent cx="5715000" cy="3952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5 — FastAPI Swagger UI at http://127.0.0.1:8000/docs showing a successful POST /predict test with a 200 OK response.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5.1 Sample API Input / Output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 (POST /predict):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{ "fixed_acidity": 7.4, "volatile_acidity": 0.70, "citric_acid": 0.00, "residual_sugar": 1.9,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"chlorides": 0.076, "free_sulfur_dioxide": 11.0, "total_sulfur_dioxide": 34.0,</w:t>
      </w:r>
    </w:p>
    <w:p>
      <w:pPr>
        <w:spacing w:after="14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"density": 0.9978, "pH": 3.51, "sulphates": 0.56, "alcohol": 9.4 }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 (200 OK):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7a35"/>
          <w:sz w:val="18"/>
          <w:szCs w:val="18"/>
        </w:rPr>
        <w:t xml:space="preserve">{ "prediction": "medium", "probabilities": {"high":0.0239,"low":0.4771,"medium":0.4990},</w:t>
      </w:r>
    </w:p>
    <w:p>
      <w:pPr>
        <w:spacing w:after="200"/>
        <w:ind w:left="360"/>
      </w:pPr>
      <w:r>
        <w:rPr>
          <w:rFonts w:ascii="Courier New" w:cs="Courier New" w:eastAsia="Courier New" w:hAnsi="Courier New"/>
          <w:color w:val="1a7a35"/>
          <w:sz w:val="18"/>
          <w:szCs w:val="18"/>
        </w:rPr>
        <w:t xml:space="preserve">  "model": "LogisticRegression", "features_used": 11 }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160" w:before="30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82e710179ae6dd51cceada674647b28b5777410.png"/><Relationship Id="rId8" Type="http://schemas.openxmlformats.org/officeDocument/2006/relationships/image" Target="media/cba57a07f5fab2d75fe913cd35d4b97f3889cbfc.png"/><Relationship Id="rId9" Type="http://schemas.openxmlformats.org/officeDocument/2006/relationships/image" Target="media/7f88c53d22bf11d2109f7c85884578fc32ec4ea3.png"/><Relationship Id="rId10" Type="http://schemas.openxmlformats.org/officeDocument/2006/relationships/image" Target="media/ea79429c72a75231d15911b86b8cdf61a0c95736.png"/><Relationship Id="rId11" Type="http://schemas.openxmlformats.org/officeDocument/2006/relationships/image" Target="media/ade23ec07f44e90d1f61c07d03d42d9c22d9ffab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2026-04-16T04:05:11.593Z</dcterms:created>
  <dcterms:modified xsi:type="dcterms:W3CDTF">2026-04-16T04:05:11.594Z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