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Still life: a solitaire engagement ring in an open, unbranded ring box resting on soft linen beside a folded silk travel pouch and a passport-coloured leather wallet with no visible text, emblems or brand marks. Warm, soft window light, shallow depth of field, ring in sharp focus. No people, no hands, no place, no documents or paperwork, no logos. Landscape 3:2 with negative space on one side for a title crop.</w:t>
            </w:r>
          </w:p>
        </w:tc>
      </w:tr>
    </w:tbl>
    <w:p/>
    <w:p>
      <w:pPr>
        <w:spacing w:after="140"/>
      </w:pPr>
      <w:r>
        <w:t xml:space="preserve">The ring may be the most valuable thing either of you wears every day, and it is easy to assume it is already covered. Engagement ring insurance is not automatic. A contents policy can cover jewellery, but you usually have to add a valuable piece and check its limits yourself.</w:t>
      </w:r>
    </w:p>
    <w:p>
      <w:pPr>
        <w:spacing w:after="140"/>
      </w:pPr>
      <w:r>
        <w:t xml:space="preserve">Travel is where the gaps tend to show. Travel insurance often limits what it pays for each item, and theft from checked baggage or of something left unattended is commonly excluded.   This guide follows the ring from the counter to a proposal abroad and on to the wedding, using only public Australian sources.</w:t>
      </w:r>
    </w:p>
    <w:p>
      <w:pPr>
        <w:spacing w:after="140"/>
      </w:pPr>
      <w:r>
        <w:t xml:space="preserve">This is general information, not financial advice. Read the policy wording, the Product Disclosure Statement (PDS), before you buy.</w:t>
      </w:r>
    </w:p>
    <w:p>
      <w:pPr>
        <w:pStyle w:val="Heading1"/>
      </w:pPr>
      <w:r>
        <w:t xml:space="preserve">Key takeaways</w:t>
      </w:r>
    </w:p>
    <w:p>
      <w:pPr>
        <w:pStyle w:val="ListParagraph"/>
        <w:numPr>
          <w:ilvl w:val="0"/>
          <w:numId w:val="2"/>
        </w:numPr>
      </w:pPr>
      <w:r>
        <w:t xml:space="preserve">A contents policy can cover your ring, but per-item limits mean you may need to add it and check its value against the limit.</w:t>
      </w:r>
    </w:p>
    <w:p>
      <w:pPr>
        <w:pStyle w:val="ListParagraph"/>
        <w:numPr>
          <w:ilvl w:val="0"/>
          <w:numId w:val="2"/>
        </w:numPr>
      </w:pPr>
      <w:r>
        <w:t xml:space="preserve">Travel insurance often caps each valuable item and rarely pays for theft of anything left unattended, so it is not a substitute for jewellery cover.</w:t>
      </w:r>
    </w:p>
    <w:p>
      <w:pPr>
        <w:pStyle w:val="ListParagraph"/>
        <w:numPr>
          <w:ilvl w:val="0"/>
          <w:numId w:val="2"/>
        </w:numPr>
      </w:pPr>
      <w:r>
        <w:t xml:space="preserve">Keep the receipt, grading report, a valuation and photos together, and have the ring revalued about every two years.</w:t>
      </w:r>
    </w:p>
    <w:p>
      <w:pPr>
        <w:pStyle w:val="ListParagraph"/>
        <w:numPr>
          <w:ilvl w:val="0"/>
          <w:numId w:val="2"/>
        </w:numPr>
      </w:pPr>
      <w:r>
        <w:t xml:space="preserve">If a claim goes wrong, complain to the insurer first and then take it to AFCA, which is free and independent.</w:t>
      </w:r>
    </w:p>
    <w:p>
      <w:pPr>
        <w:pStyle w:val="Heading2"/>
      </w:pPr>
      <w:r>
        <w:t xml:space="preserve">What the PDS is, and why it matters</w:t>
      </w:r>
    </w:p>
    <w:p>
      <w:pPr>
        <w:spacing w:after="140"/>
      </w:pPr>
      <w:r>
        <w:t xml:space="preserve">A PDS is the document a provider must give you when it offers a financial product. It sets out the key features, fees, benefits, risks and how complaints are handled.  Insurers must also provide a Key Fact Sheet in a layout the government prescribes, which is a useful first read before the full PDS.</w:t>
      </w:r>
    </w:p>
    <w:p>
      <w:pPr>
        <w:spacing w:after="140"/>
      </w:pPr>
      <w:r>
        <w:t xml:space="preserve">You may also see a Target Market Determination (TMD), a short document describing who the product is designed for. </w:t>
      </w:r>
      <w:r>
        <w:rPr>
          <w:highlight w:val="yellow"/>
          <w:highlightCs w:val="yellow"/>
        </w:rPr>
        <w:t xml:space="preserve">[[VERIFY: ASIC or Moneysmart plain-English definition of a Target Market Determination (TMD); ASIC DDO page and Moneysmart TMD glossary returned 404 on 29 Oct 2026]]</w:t>
      </w:r>
      <w:r>
        <w:t xml:space="preserve"> Every point below is a question to put to your insurer, not a statement of what any particular policy does.</w:t>
      </w:r>
    </w:p>
    <w:p>
      <w:pPr>
        <w:pStyle w:val="Heading1"/>
      </w:pPr>
      <w:r>
        <w:t xml:space="preserve">Three ways to insure an engagement ring in Australia</w:t>
      </w:r>
    </w:p>
    <w:p>
      <w:pPr>
        <w:spacing w:after="140"/>
      </w:pPr>
      <w:r>
        <w:t xml:space="preserve">There are three places a ring can sit: your home contents policy, a separate policy for valuables, or travel insurance while you are away. Only the first two are built to hold it for the long term. If you are still choosing the ring, </w:t>
      </w:r>
      <w:hyperlink w:history="1" r:id="rIdj1vdjz5idpf3szg_kwv2d">
        <w:r>
          <w:rPr>
            <w:rStyle w:val="Hyperlink"/>
            <w:b w:val="false"/>
            <w:bCs w:val="false"/>
          </w:rPr>
          <w:t xml:space="preserve">deciding how much to spend on a ring you are comfortable insuring</w:t>
        </w:r>
      </w:hyperlink>
      <w:r>
        <w:t xml:space="preserve"> is a sensible place to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three_ways</w:t>
            </w:r>
          </w:p>
          <w:p>
            <w:r>
              <w:rPr>
                <w:i/>
                <w:iCs/>
                <w:sz w:val="18"/>
                <w:szCs w:val="18"/>
              </w:rPr>
              <w:t xml:space="preserve">Three-column brand graphic with simple line icons (house, ring, suitcase) and one short label each; neutral, no numbers, no 'best' wording.</w:t>
            </w:r>
          </w:p>
        </w:tc>
      </w:tr>
    </w:tbl>
    <w:p/>
    <w:p>
      <w:pPr>
        <w:pStyle w:val="Heading2"/>
      </w:pPr>
      <w:r>
        <w:t xml:space="preserve">Home contents policy: specified items versus unspecified cover</w:t>
      </w:r>
    </w:p>
    <w:p>
      <w:pPr>
        <w:spacing w:after="140"/>
      </w:pPr>
      <w:r>
        <w:t xml:space="preserve">Contents insurance covers household items and personal belongings, including jewellery, if they are damaged, lost or stolen.  The catch is the fine print on individual items. Most contents policies set a maximum you can claim for certain items, and you pay the difference above that limit.</w:t>
      </w:r>
    </w:p>
    <w:p>
      <w:pPr>
        <w:spacing w:after="140"/>
      </w:pPr>
      <w:r>
        <w:t xml:space="preserve">Moneysmart suggests checking what is not covered and whether to add valuable items such as jewellery.  Insurers word this differently, so ask yours how the ring is treated if it is listed on the policy with its own value, and how it is treated if it is not.</w:t>
      </w:r>
    </w:p>
    <w:p>
      <w:pPr>
        <w:spacing w:after="140"/>
      </w:pPr>
      <w:r>
        <w:t xml:space="preserve">The ring also leaves the house every day. Portable contents cover protects some belongings away from home, usually with a per-item cap, and it may be an optional extra.  Accidental damage is often not included either: most contents insurance leaves it out unless you add it.  </w:t>
      </w:r>
      <w:hyperlink w:history="1" r:id="rIdvzbg5e7-saso0lqqp_bfl">
        <w:r>
          <w:rPr>
            <w:rStyle w:val="Hyperlink"/>
            <w:b w:val="false"/>
            <w:bCs w:val="false"/>
          </w:rPr>
          <w:t xml:space="preserve">Moneysmart's guide to contents insurance</w:t>
        </w:r>
      </w:hyperlink>
      <w:r>
        <w:t xml:space="preserve"> walks through each of these features.</w:t>
      </w:r>
    </w:p>
    <w:p>
      <w:pPr>
        <w:pStyle w:val="Heading2"/>
      </w:pPr>
      <w:r>
        <w:t xml:space="preserve">Standalone jewellery policy</w:t>
      </w:r>
    </w:p>
    <w:p>
      <w:pPr>
        <w:spacing w:after="140"/>
      </w:pPr>
      <w:r>
        <w:t xml:space="preserve">Some couples prefer a separate policy just for valuables, so the ring is not tied to a home contents policy. The terms differ from product to product, so read the PDS line by line. GIA's advice applies to any jewellery cover: check it covers damage and loss as well as theft, and read it carefully.</w:t>
      </w:r>
    </w:p>
    <w:p>
      <w:pPr>
        <w:pStyle w:val="Heading2"/>
      </w:pPr>
      <w:r>
        <w:t xml:space="preserve">Travel insurance: why it is not a substitute</w:t>
      </w:r>
    </w:p>
    <w:p>
      <w:pPr>
        <w:spacing w:after="140"/>
      </w:pPr>
      <w:r>
        <w:t xml:space="preserve">Travel insurance can cover replacing baggage and valuables that are lost, damaged or stolen.  Smartraveller notes that policies vary on valuables and often limit each item's value, that you may need extra insurance for them, and that credit card policies often have lower item limits.</w:t>
      </w:r>
    </w:p>
    <w:p>
      <w:pPr>
        <w:spacing w:after="140"/>
      </w:pPr>
      <w:r>
        <w:t xml:space="preserve">It is a useful layer for the trip, not a home for the ring. Treat it as the second line of cover, and check that your main policy follows the ring overseas.</w:t>
      </w:r>
    </w:p>
    <w:p>
      <w:pPr>
        <w:pStyle w:val="Heading1"/>
      </w:pPr>
      <w:r>
        <w:t xml:space="preserve">What to check in any policy before you rely on it</w:t>
      </w:r>
    </w:p>
    <w:p>
      <w:pPr>
        <w:spacing w:after="140"/>
      </w:pPr>
      <w:r>
        <w:t xml:space="preserve">Read these against the PDS of any policy you are weighing. Where a source does not say how jewellery cover works, the honest answer is to check your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policy_checks</w:t>
            </w:r>
          </w:p>
          <w:p>
            <w:r>
              <w:rPr>
                <w:i/>
                <w:iCs/>
                <w:sz w:val="18"/>
                <w:szCs w:val="18"/>
              </w:rPr>
              <w:t xml:space="preserve">Portrait or square checklist card with tick boxes, brand palette, generous white space; question wording only, no answers implying any product covers anything.</w:t>
            </w:r>
          </w:p>
        </w:tc>
      </w:tr>
    </w:tbl>
    <w:p/>
    <w:p>
      <w:pPr>
        <w:pStyle w:val="Heading2"/>
      </w:pPr>
      <w:r>
        <w:t xml:space="preserve">Loss, theft and accidental damage, including a lost stone</w:t>
      </w:r>
    </w:p>
    <w:p>
      <w:pPr>
        <w:spacing w:after="140"/>
      </w:pPr>
      <w:r>
        <w:t xml:space="preserve">Loss, theft and damage are separate risks. GIA advises confirming a jewellery policy covers damage and loss, not only theft.  A stone that falls out of its setting is the case couples ask about most, and whether it counts as loss or damage depends on the wording, so check your policy and ask your insurer how they treat it.</w:t>
      </w:r>
    </w:p>
    <w:p>
      <w:pPr>
        <w:pStyle w:val="Heading2"/>
      </w:pPr>
      <w:r>
        <w:t xml:space="preserve">Overseas cover and time limits away from home</w:t>
      </w:r>
    </w:p>
    <w:p>
      <w:pPr>
        <w:spacing w:after="140"/>
      </w:pPr>
      <w:r>
        <w:t xml:space="preserve">Some cover stops at the border and some does not. Smartraveller notes that travel policies can be country-specific or worldwide, and that you should be covered for every country, including stopovers.  For a contents or jewellery policy, ask whether the ring is covered overseas and whether there is a limit on how long you can be away.</w:t>
      </w:r>
    </w:p>
    <w:p>
      <w:pPr>
        <w:pStyle w:val="Heading2"/>
      </w:pPr>
      <w:r>
        <w:t xml:space="preserve">Agreed value, market value and replacement value</w:t>
      </w:r>
    </w:p>
    <w:p>
      <w:pPr>
        <w:spacing w:after="140"/>
      </w:pPr>
      <w:r>
        <w:t xml:space="preserve">In general terms, agreed value is a fixed amount you and the insurer set when you take out or renew a policy, and market value is assessed when you claim and can fall.  Those definitions come from the Insurance Council of Australia's general explainer; jewellery policies vary, so check which basis yours uses.</w:t>
      </w:r>
    </w:p>
    <w:p>
      <w:pPr>
        <w:spacing w:after="140"/>
      </w:pPr>
      <w:r>
        <w:t xml:space="preserve">Most contents insurance offers replacement value ("new for old"), while some policies pay the item's value at the time it was insured, which can depreciate.  </w:t>
      </w:r>
      <w:hyperlink w:history="1" r:id="rId9koiela0d-vmqlf_nlugo">
        <w:r>
          <w:rPr>
            <w:rStyle w:val="Hyperlink"/>
            <w:b w:val="false"/>
            <w:bCs w:val="false"/>
          </w:rPr>
          <w:t xml:space="preserve">The Insurance Council of Australia's plain-English explainers</w:t>
        </w:r>
      </w:hyperlink>
      <w:r>
        <w:t xml:space="preserve"> cover these terms in more depth.</w:t>
      </w:r>
    </w:p>
    <w:p>
      <w:pPr>
        <w:pStyle w:val="Heading2"/>
      </w:pPr>
      <w:r>
        <w:t xml:space="preserve">Replace or cash settlement</w:t>
      </w:r>
    </w:p>
    <w:p>
      <w:pPr>
        <w:spacing w:after="140"/>
      </w:pPr>
      <w:r>
        <w:t xml:space="preserve">When you claim, an insurer may repair or replace the item, or pay what it would cost to do so.  Moneysmart lists settlement options among the features worth comparing.  For a ring with sentimental weight, ask who chooses the replacement jeweller and whether you can take cash instead.</w:t>
      </w:r>
    </w:p>
    <w:p>
      <w:pPr>
        <w:pStyle w:val="Heading2"/>
      </w:pPr>
      <w:r>
        <w:t xml:space="preserve">Excess, conditions and when cover starts</w:t>
      </w:r>
    </w:p>
    <w:p>
      <w:pPr>
        <w:spacing w:after="140"/>
      </w:pPr>
      <w:r>
        <w:t xml:space="preserve">An excess is the amount you pay to make a claim, and a higher excess lowers the premium.  Every policy also has conditions, and theft of items left unattended is rarely covered.</w:t>
      </w:r>
    </w:p>
    <w:p>
      <w:pPr>
        <w:spacing w:after="140"/>
      </w:pPr>
      <w:r>
        <w:t xml:space="preserve">You have a duty of disclosure: when you apply for, renew or extend a policy, you must tell the insurer everything relevant to its decision to insure you.  A new ring, or a ring worth more than when you listed it, is that kind of detail. As for the moment cover begins, check your policy and get the start date in writing.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Question to ask</w:t>
            </w:r>
          </w:p>
        </w:tc>
        <w:tc>
          <w:tcPr>
            <w:tcW w:type="dxa" w:w="4513"/>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Where to look</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Is loss covered, as well as theft and damage?</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PDS, list of insured events</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Does cover apply overseas, and for how long?</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PDS, territory or travel section</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Agreed, market or replacement value?</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PDS and Key Fact Sheet</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Repair, replace or cash?</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PDS, claims section</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What conditions apply (unattended items, safes, luggage)?</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PDS, exclusions</w:t>
            </w:r>
          </w:p>
        </w:tc>
      </w:tr>
      <w:tr>
        <w:trPr>
          <w:tblHeader w:val="false"/>
        </w:trPr>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When does cover start?</w:t>
            </w:r>
          </w:p>
        </w:tc>
        <w:tc>
          <w:tcPr>
            <w:tcW w:type="dxa" w:w="451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Your policy schedule or insurer, in writing</w:t>
            </w:r>
          </w:p>
        </w:tc>
      </w:tr>
    </w:tbl>
    <w:p/>
    <w:p>
      <w:pPr>
        <w:pStyle w:val="Heading1"/>
      </w:pPr>
      <w:r>
        <w:t xml:space="preserve">Valuations and paperwork to keep</w:t>
      </w:r>
    </w:p>
    <w:p>
      <w:pPr>
        <w:spacing w:after="140"/>
      </w:pPr>
      <w:r>
        <w:t xml:space="preserve">A claim is easier when the paperwork already exists. Moneysmart suggests listing belongings with their replacement cost, receipts, photos, condition and purchase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paperwork</w:t>
            </w:r>
          </w:p>
          <w:p>
            <w:r>
              <w:rPr>
                <w:i/>
                <w:iCs/>
                <w:sz w:val="18"/>
                <w:szCs w:val="18"/>
              </w:rPr>
              <w:t xml:space="preserve">Overhead flat-lay: engagement ring on white card, a jeweller's loupe, a small ruler or calliper, and a phone face-down or with a blank screen, on pale stone. Soft daylight. No receipts, grading reports, valuations or any legible text, no logos, no hands.</w:t>
            </w:r>
          </w:p>
        </w:tc>
      </w:tr>
    </w:tbl>
    <w:p/>
    <w:p>
      <w:pPr>
        <w:pStyle w:val="Heading2"/>
      </w:pPr>
      <w:r>
        <w:t xml:space="preserve">Receipt, grading report and an independent valuation</w:t>
      </w:r>
    </w:p>
    <w:p>
      <w:pPr>
        <w:spacing w:after="140"/>
      </w:pPr>
      <w:r>
        <w:t xml:space="preserve">The grading report and the valuation do different jobs. A laboratory grading report describes the stone (clarity, colour, cut, carat, fluorescence, polish and symmetry) but gives no value.  A valuation is the document that gives a value, and the Jewellers Association of Australia (JAA) notes most valuations are produced for insurance purposes.  Our guide to </w:t>
      </w:r>
      <w:hyperlink w:history="1" r:id="rIdqsm_tovyvygaipfxiqgjz">
        <w:r>
          <w:rPr>
            <w:rStyle w:val="Hyperlink"/>
            <w:b w:val="false"/>
            <w:bCs w:val="false"/>
          </w:rPr>
          <w:t xml:space="preserve">grading reports from GIA and IGI</w:t>
        </w:r>
      </w:hyperlink>
      <w:r>
        <w:t xml:space="preserve"> explains what each report shows.</w:t>
      </w:r>
    </w:p>
    <w:p>
      <w:pPr>
        <w:spacing w:after="140"/>
      </w:pPr>
      <w:r>
        <w:t xml:space="preserve">Ask for the valuation at the counter. For a new piece, the JAA accepts a retailer's valuation if it gives a full, detailed description and the figure matches the price you paid.  Jewellers have no legal obligation to provide one, and some charge a fee.  For a pre-owned ring, the JAA recommends a registered valuer or checking the valuer's qualifications.</w:t>
      </w:r>
    </w:p>
    <w:p>
      <w:pPr>
        <w:spacing w:after="140"/>
      </w:pPr>
      <w:r>
        <w:t xml:space="preserve">In Australia, a valuer does not have to belong to a professional body.  The JAA points consumers to its member directory and to the National Council of Jewellery Valuers, whose registered valuers must keep training in gemmology, diamond grading and valuing.</w:t>
      </w:r>
    </w:p>
    <w:p>
      <w:pPr>
        <w:pStyle w:val="Heading2"/>
      </w:pPr>
      <w:r>
        <w:t xml:space="preserve">Photos and a note of any laser inscription</w:t>
      </w:r>
    </w:p>
    <w:p>
      <w:pPr>
        <w:spacing w:after="140"/>
      </w:pPr>
      <w:r>
        <w:t xml:space="preserve">Photograph the ring from several angles, in good light, and keep the files with the documents. A visual record helps prove ownership in a future claim.  A diamond can be laser inscribed to link it to its grading report, so note the inscription number too.  Describe the style accurately; our guide to </w:t>
      </w:r>
      <w:hyperlink w:history="1" r:id="rIdtzi-uq3cqqryuwevm8xd1">
        <w:r>
          <w:rPr>
            <w:rStyle w:val="Hyperlink"/>
            <w:b w:val="false"/>
            <w:bCs w:val="false"/>
          </w:rPr>
          <w:t xml:space="preserve">15 engagement ring styles and who each suits</w:t>
        </w:r>
      </w:hyperlink>
      <w:r>
        <w:t xml:space="preserve"> has the right vocabulary.</w:t>
      </w:r>
    </w:p>
    <w:p>
      <w:pPr>
        <w:pStyle w:val="Heading2"/>
      </w:pPr>
      <w:r>
        <w:t xml:space="preserve">How often to revalue</w:t>
      </w:r>
    </w:p>
    <w:p>
      <w:pPr>
        <w:spacing w:after="140"/>
      </w:pPr>
      <w:r>
        <w:t xml:space="preserve">The JAA recommends having jewellery valued approximately every two years.  Moneysmart warns that cover left unreviewed for 12 months or more risks underinsurance, so review it at each renewal.  A simple habit is to diary the revaluation for every second anniversary of the purchase and update the insured value at the next renewal.</w:t>
      </w:r>
    </w:p>
    <w:p>
      <w:pPr>
        <w:pStyle w:val="Heading1"/>
      </w:pPr>
      <w:r>
        <w:t xml:space="preserve">Lab-grown or natural: why the report has to be right</w:t>
      </w:r>
    </w:p>
    <w:p>
      <w:pPr>
        <w:spacing w:after="140"/>
      </w:pPr>
      <w:r>
        <w:t xml:space="preserve">A valuation describes the item and gives a value judgement based on current market conditions.  That only works if the stone is described correctly in the first place.</w:t>
      </w:r>
    </w:p>
    <w:p>
      <w:pPr>
        <w:spacing w:after="140"/>
      </w:pPr>
      <w:r>
        <w:t xml:space="preserve">Laboratory reports make the distinction visible. GIA's lab-grown report confirms the stone is laboratory-grown and inscribes "Laboratory-Grown" on the girdle, IGI's lab-grown reports carry an "LG" prefix, and reports can be checked online by report number.  Make sure your valuation describes the stone the same way the report does, and ask your valuer to confirm it before you send it to your insurer.</w:t>
      </w:r>
    </w:p>
    <w:p>
      <w:pPr>
        <w:spacing w:after="140"/>
      </w:pPr>
      <w:r>
        <w:t xml:space="preserve">If you are still deciding, here is </w:t>
      </w:r>
      <w:hyperlink w:history="1" r:id="rId87ndbm1yx9hmh7wcwrsua">
        <w:r>
          <w:rPr>
            <w:rStyle w:val="Hyperlink"/>
            <w:b w:val="false"/>
            <w:bCs w:val="false"/>
          </w:rPr>
          <w:t xml:space="preserve">how lab-grown and natural diamonds differ</w:t>
        </w:r>
      </w:hyperlink>
      <w:r>
        <w:t xml:space="preserve">.</w:t>
      </w:r>
    </w:p>
    <w:p>
      <w:pPr>
        <w:pStyle w:val="Heading1"/>
      </w:pPr>
      <w:r>
        <w:t xml:space="preserve">Insure it from the day you buy it, especially before a proposal abroad</w:t>
      </w:r>
    </w:p>
    <w:p>
      <w:pPr>
        <w:pStyle w:val="Heading2"/>
      </w:pPr>
      <w:r>
        <w:t xml:space="preserve">The gap between collecting the ring and listing it</w:t>
      </w:r>
    </w:p>
    <w:p>
      <w:pPr>
        <w:spacing w:after="140"/>
      </w:pPr>
      <w:r>
        <w:t xml:space="preserve">The first weeks deserve attention. The ring is new, it is hidden in a drawer or a jacket pocket, and nobody has told an insurer it exists. Getting the valuation on the day you buy it removes the usual reason for delay.</w:t>
      </w:r>
    </w:p>
    <w:p>
      <w:pPr>
        <w:spacing w:after="140"/>
      </w:pPr>
      <w:r>
        <w:t xml:space="preserve">Whether your current contents policy picks up a new item automatically, and for how long, is a question for your insurer. Ask before you collect the ring, not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proposal_abroad</w:t>
            </w:r>
          </w:p>
          <w:p>
            <w:r>
              <w:rPr>
                <w:i/>
                <w:iCs/>
                <w:sz w:val="18"/>
                <w:szCs w:val="18"/>
              </w:rPr>
              <w:t xml:space="preserve">Close-up of a small velvet ring box tucked into the inner zip pocket of an open leather carry-on bag, soft light. No place, no airport signage, no people, no brand marks or tags.</w:t>
            </w:r>
          </w:p>
        </w:tc>
      </w:tr>
    </w:tbl>
    <w:p/>
    <w:p>
      <w:pPr>
        <w:pStyle w:val="Heading2"/>
      </w:pPr>
      <w:r>
        <w:t xml:space="preserve">Proposing overseas: tell your insurer before you fly</w:t>
      </w:r>
    </w:p>
    <w:p>
      <w:pPr>
        <w:spacing w:after="140"/>
      </w:pPr>
      <w:r>
        <w:t xml:space="preserve">A proposal abroad means the ring crosses borders before anyone has seen it. GIA advises packing jewellery in your carry-on rather than checked luggage and telling your insurer your travel dates.  When you buy travel insurance, declare everything upfront, or you may void the policy.</w:t>
      </w:r>
    </w:p>
    <w:p>
      <w:pPr>
        <w:spacing w:after="140"/>
      </w:pPr>
      <w:r>
        <w:t xml:space="preserve">The ring box is the hardest object to hide and the easiest to leave behind on a sun lounger. Keep it on you. For the planning itself, see </w:t>
      </w:r>
      <w:hyperlink w:history="1" r:id="rIdlbebaeqvmk4kmt7gyfcct">
        <w:r>
          <w:rPr>
            <w:rStyle w:val="Hyperlink"/>
            <w:b w:val="false"/>
            <w:bCs w:val="false"/>
          </w:rPr>
          <w:t xml:space="preserve">how to propose abroad, step by step</w:t>
        </w:r>
      </w:hyperlink>
      <w:r>
        <w:t xml:space="preserve">, or browse </w:t>
      </w:r>
      <w:hyperlink w:history="1" r:id="rIdsvjmouw5t83knxosh4xkf">
        <w:r>
          <w:rPr>
            <w:rStyle w:val="Hyperlink"/>
            <w:b w:val="false"/>
            <w:bCs w:val="false"/>
          </w:rPr>
          <w:t xml:space="preserve">proposal destinations in Italy</w:t>
        </w:r>
      </w:hyperlink>
      <w:r>
        <w:t xml:space="preserve">.</w:t>
      </w:r>
    </w:p>
    <w:p>
      <w:pPr>
        <w:pStyle w:val="Heading1"/>
      </w:pPr>
      <w:r>
        <w:t xml:space="preserve">Travelling to your destination wedding with the rings</w:t>
      </w:r>
    </w:p>
    <w:p>
      <w:pPr>
        <w:spacing w:after="140"/>
      </w:pPr>
      <w:r>
        <w:t xml:space="preserve">By the wedding, there are usually three rings travelling: the engagement ring and two wedding bands. The trip is where the conditions in a policy matter most.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travel_wedding</w:t>
            </w:r>
          </w:p>
          <w:p>
            <w:r>
              <w:rPr>
                <w:i/>
                <w:iCs/>
                <w:sz w:val="18"/>
                <w:szCs w:val="18"/>
              </w:rPr>
              <w:t xml:space="preserve">Engagement ring and two plain wedding bands in a small travel ring case on a neutral hotel-style bedside surface (generic, no view, no identifiable interior or destination), soft morning light. No people, no logos, no safe branding.</w:t>
            </w:r>
          </w:p>
        </w:tc>
      </w:tr>
    </w:tbl>
    <w:p/>
    <w:p>
      <w:pPr>
        <w:pStyle w:val="Heading2"/>
      </w:pPr>
      <w:r>
        <w:t xml:space="preserve">Carry-on, travel dates and hotel safes</w:t>
      </w:r>
    </w:p>
    <w:p>
      <w:pPr>
        <w:spacing w:after="140"/>
      </w:pPr>
      <w:r>
        <w:t xml:space="preserve">All three rings go in your carry-on, and your insurer gets your travel dates before you leave.  Smartraveller lists what standard travel policies typically do not cover: items left unattended, items not stored in a hotel safe when one was available, items left with someone met on the trip, and items stolen from checked baggage or a locked car.  In practice, the ring is on a hand, in the carry-on or in the room safe.</w:t>
      </w:r>
    </w:p>
    <w:p>
      <w:pPr>
        <w:spacing w:after="140"/>
      </w:pPr>
      <w:hyperlink w:history="1" r:id="rIdbvvrsgbmnnnilvik3ali4">
        <w:r>
          <w:rPr>
            <w:rStyle w:val="Hyperlink"/>
            <w:b w:val="false"/>
            <w:bCs w:val="false"/>
          </w:rPr>
          <w:t xml:space="preserve">Smartraveller's travel insurance advice</w:t>
        </w:r>
      </w:hyperlink>
      <w:r>
        <w:t xml:space="preserve"> also reminds you to read the PDS before buying, as it sets out inclusions, exclusions and the claims process.</w:t>
      </w:r>
    </w:p>
    <w:p>
      <w:pPr>
        <w:spacing w:after="140"/>
      </w:pPr>
      <w:r>
        <w:t xml:space="preserve">A destination wedding has many moving parts: flights for the two of you, guests arriving on different days, a rehearsal dinner, a beach day. A Wedded Advisor plans venue, travel, vendors and payments, anywhere in the world, as your single point of contact, so the logistics around the rings sit inside one plan. See </w:t>
      </w:r>
      <w:hyperlink w:history="1" r:id="rIdlzgdkbrbtr_rjcptni_16">
        <w:r>
          <w:rPr>
            <w:rStyle w:val="Hyperlink"/>
            <w:b w:val="false"/>
            <w:bCs w:val="false"/>
          </w:rPr>
          <w:t xml:space="preserve">how a Wedded Advisor plans the wedding travel</w:t>
        </w:r>
      </w:hyperlink>
      <w:r>
        <w:t xml:space="preserve">.</w:t>
      </w:r>
    </w:p>
    <w:p>
      <w:pPr>
        <w:pStyle w:val="Heading2"/>
      </w:pPr>
      <w:r>
        <w:t xml:space="preserve">If a ring is stolen overseas: police report first</w:t>
      </w:r>
    </w:p>
    <w:p>
      <w:pPr>
        <w:spacing w:after="140"/>
      </w:pPr>
      <w:r>
        <w:t xml:space="preserve">Report a theft to local police before you leave that town; each destination's emergency numbers are in its Smartraveller travel advice.  You cannot claim on travel insurance without a police report, and your insurer may ask for a copy.  The Australian Government cannot help with an insurance claim or replace anything other than a passport.  Smartraveller's page on </w:t>
      </w:r>
      <w:hyperlink w:history="1" r:id="rIdfab2hk8fj08sm2jmohx3q">
        <w:r>
          <w:rPr>
            <w:rStyle w:val="Hyperlink"/>
            <w:b w:val="false"/>
            <w:bCs w:val="false"/>
          </w:rPr>
          <w:t xml:space="preserve">theft and robbery overseas</w:t>
        </w:r>
      </w:hyperlink>
      <w:r>
        <w:t xml:space="preserve"> covers the steps.</w:t>
      </w:r>
    </w:p>
    <w:p>
      <w:pPr>
        <w:pStyle w:val="Heading2"/>
      </w:pPr>
      <w:r>
        <w:t xml:space="preserve">Water, beach and boat days: swap to a plain band</w:t>
      </w:r>
    </w:p>
    <w:p>
      <w:pPr>
        <w:spacing w:after="140"/>
      </w:pPr>
      <w:r>
        <w:t xml:space="preserve">Pools, beach clubs and boat days are where a ring is most likely to be taken off and left on a towel, which is exactly the unattended item policies tend to exclude.  A simple band for those days, with the engagement ring in the safe, takes that risk off the table. Our guide to </w:t>
      </w:r>
      <w:hyperlink w:history="1" r:id="rId0y2jxk3m9skciur-0dygv">
        <w:r>
          <w:rPr>
            <w:rStyle w:val="Hyperlink"/>
            <w:b w:val="false"/>
            <w:bCs w:val="false"/>
          </w:rPr>
          <w:t xml:space="preserve">low-profile settings and a plain travel band</w:t>
        </w:r>
      </w:hyperlink>
      <w:r>
        <w:t xml:space="preserve"> covers the options and a pre-trip claw check.</w:t>
      </w:r>
    </w:p>
    <w:p>
      <w:pPr>
        <w:pStyle w:val="Heading1"/>
      </w:pPr>
      <w:r>
        <w:t xml:space="preserve">Making a claim, and what to do if it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claims_checklist</w:t>
            </w:r>
          </w:p>
          <w:p>
            <w:r>
              <w:rPr>
                <w:i/>
                <w:iCs/>
                <w:sz w:val="18"/>
                <w:szCs w:val="18"/>
              </w:rPr>
              <w:t xml:space="preserve">Simple three-step brand graphic: 1 gather (report, receipt, valuation, photos), 2 lodge and use the insurer's internal complaints process, 3 AFCA if unresolved. Line icons, no AFCA logo, no insurer branding, no timeframes unless sourced in 03-source-pack and approved in 08-final.</w:t>
            </w:r>
          </w:p>
        </w:tc>
      </w:tr>
    </w:tbl>
    <w:p/>
    <w:p>
      <w:pPr>
        <w:pStyle w:val="Heading2"/>
      </w:pPr>
      <w:r>
        <w:t xml:space="preserve">What to gather before you call</w:t>
      </w:r>
    </w:p>
    <w:p>
      <w:pPr>
        <w:spacing w:after="140"/>
      </w:pPr>
      <w:r>
        <w:t xml:space="preserve">Have the police report (for theft), the receipt, the valuation, the grading report and your photos ready. A record with receipts, photos and purchase date helps prove ownership.   The General Insurance Code of Practice sets the standards general insurers must meet with customers, including timeframes for responding to claims.   Ask your insurer which timeframes apply to your claim, and keep a note of every call.</w:t>
      </w:r>
    </w:p>
    <w:p>
      <w:pPr>
        <w:pStyle w:val="Heading2"/>
      </w:pPr>
      <w:r>
        <w:t xml:space="preserve">Internal complaint first, then AFCA</w:t>
      </w:r>
    </w:p>
    <w:p>
      <w:pPr>
        <w:spacing w:after="140"/>
      </w:pPr>
      <w:r>
        <w:t xml:space="preserve">If the claim is declined or the settlement looks low, raise it with the insurer, with evidence such as an independent valuation.  If that does not resolve it, use the insurer's internal dispute resolution process, which is described in the PDS.</w:t>
      </w:r>
    </w:p>
    <w:p>
      <w:pPr>
        <w:spacing w:after="140"/>
      </w:pPr>
      <w:r>
        <w:t xml:space="preserve">After that, </w:t>
      </w:r>
      <w:hyperlink w:history="1" r:id="rId_ry-jceio2jqngpn5dp_j">
        <w:r>
          <w:rPr>
            <w:rStyle w:val="Hyperlink"/>
            <w:b w:val="false"/>
            <w:bCs w:val="false"/>
          </w:rPr>
          <w:t xml:space="preserve">the Australian Financial Complaints Authority (AFCA)</w:t>
        </w:r>
      </w:hyperlink>
      <w:r>
        <w:t xml:space="preserve"> is a free, fair and independent service for consumers with complaints about financial firms, including insurers.  AFCA may not be able to help if a court has decided the matter, if the complaint falls outside its rules or time limits, or if the firm is not a member, so check AFCA's site early.  If you believe an insurer has breached the Code, you can report it to the Code Governance Committee.</w:t>
      </w:r>
    </w:p>
    <w:p>
      <w:pPr>
        <w:pStyle w:val="Heading1"/>
      </w:pPr>
      <w:r>
        <w:t xml:space="preserve">Frequently asked questions</w:t>
      </w:r>
    </w:p>
    <w:p>
      <w:pPr>
        <w:pStyle w:val="Heading2"/>
      </w:pPr>
      <w:r>
        <w:t xml:space="preserve">Is my engagement ring covered by home contents insurance?</w:t>
      </w:r>
    </w:p>
    <w:p>
      <w:pPr>
        <w:spacing w:after="140"/>
      </w:pPr>
      <w:r>
        <w:t xml:space="preserve">It can be. Contents insurance covers personal belongings, including jewellery, if they are damaged, lost or stolen, but most policies limit what you can claim for certain items.   Check whether the ring needs to be added with its own value.</w:t>
      </w:r>
    </w:p>
    <w:p>
      <w:pPr>
        <w:pStyle w:val="Heading2"/>
      </w:pPr>
      <w:r>
        <w:t xml:space="preserve">Does travel insurance cover my engagement ring overseas?</w:t>
      </w:r>
    </w:p>
    <w:p>
      <w:pPr>
        <w:spacing w:after="140"/>
      </w:pPr>
      <w:r>
        <w:t xml:space="preserve">Travel insurance can cover lost, damaged or stolen valuables, but policies often limit each item's value.  Theft of unattended items, items not in an available hotel safe and items in checked baggage are typically excluded.</w:t>
      </w:r>
    </w:p>
    <w:p>
      <w:pPr>
        <w:pStyle w:val="Heading2"/>
      </w:pPr>
      <w:r>
        <w:t xml:space="preserve">Does insurance cover a lost engagement ring or a lost stone?</w:t>
      </w:r>
    </w:p>
    <w:p>
      <w:pPr>
        <w:spacing w:after="140"/>
      </w:pPr>
      <w:r>
        <w:t xml:space="preserve">It depends on the policy. Check that it covers loss and damage as well as theft.  Ask your insurer directly how a stone lost from its setting is treated.</w:t>
      </w:r>
    </w:p>
    <w:p>
      <w:pPr>
        <w:pStyle w:val="Heading2"/>
      </w:pPr>
      <w:r>
        <w:t xml:space="preserve">Should I insure the ring before I propose?</w:t>
      </w:r>
    </w:p>
    <w:p>
      <w:pPr>
        <w:spacing w:after="140"/>
      </w:pPr>
      <w:r>
        <w:t xml:space="preserve">Ask your insurer how and when a new ring can be added before you collect it. If you are proposing abroad, carry it on board and tell your insurer your travel dates.</w:t>
      </w:r>
    </w:p>
    <w:p>
      <w:pPr>
        <w:pStyle w:val="Heading2"/>
      </w:pPr>
      <w:r>
        <w:t xml:space="preserve">What is the difference between agreed value and market value?</w:t>
      </w:r>
    </w:p>
    <w:p>
      <w:pPr>
        <w:spacing w:after="140"/>
      </w:pPr>
      <w:r>
        <w:t xml:space="preserve">In general terms, agreed value is a fixed amount set when you take out or renew a policy, and market value is assessed at claim time and can fall.  Jewellery policies vary, so check which basis yours uses.</w:t>
      </w:r>
    </w:p>
    <w:p>
      <w:pPr>
        <w:pStyle w:val="Heading2"/>
      </w:pPr>
      <w:r>
        <w:t xml:space="preserve">How often should I get my engagement ring revalued?</w:t>
      </w:r>
    </w:p>
    <w:p>
      <w:pPr>
        <w:spacing w:after="140"/>
      </w:pPr>
      <w:r>
        <w:t xml:space="preserve">The Jewellers Association of Australia recommends approximately every two years.  Update the insured value at the next renewal.</w:t>
      </w:r>
    </w:p>
    <w:p>
      <w:pPr>
        <w:pStyle w:val="Heading1"/>
      </w:pPr>
      <w:r>
        <w:t xml:space="preserve">Where the ring goes next</w:t>
      </w:r>
    </w:p>
    <w:p>
      <w:pPr>
        <w:spacing w:after="140"/>
      </w:pPr>
      <w:r>
        <w:t xml:space="preserve">Once the ring is listed, valued and photographed, it is ready to travel. The next question is where. You can </w:t>
      </w:r>
      <w:hyperlink w:history="1" r:id="rIdyknjh0ncgnbzbtqbr0tip">
        <w:r>
          <w:rPr>
            <w:rStyle w:val="Hyperlink"/>
            <w:b w:val="false"/>
            <w:bCs w:val="false"/>
          </w:rPr>
          <w:t xml:space="preserve">browse destination wedding locations by region</w:t>
        </w:r>
      </w:hyperlink>
      <w:r>
        <w:t xml:space="preserve">, and when you are ready, a Wedded Advisor will plan the venue and the travel with you from first idea to the last dance, working in your time zone and quoting in AUD.</w:t>
      </w:r>
    </w:p>
    <w:p>
      <w:pPr>
        <w:spacing w:after="140"/>
      </w:pPr>
      <w:r>
        <w:t xml:space="preserve">This is general information, not financial advice. Read the Product Disclosure Statement (PDS) before you buy.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1vdjz5idpf3szg_kwv2d" Type="http://schemas.openxmlformats.org/officeDocument/2006/relationships/hyperlink" Target="https://weddedwonderland.com/expert-advice/how-much-should-you-spend-on-an-engagement-ring" TargetMode="External"/><Relationship Id="rIdvzbg5e7-saso0lqqp_bfl" Type="http://schemas.openxmlformats.org/officeDocument/2006/relationships/hyperlink" Target="https://moneysmart.gov.au/home-insurance/contents-insurance" TargetMode="External"/><Relationship Id="rId9koiela0d-vmqlf_nlugo" Type="http://schemas.openxmlformats.org/officeDocument/2006/relationships/hyperlink" Target="https://insurancecouncil.com.au/consumers/insurance-explained/" TargetMode="External"/><Relationship Id="rIdqsm_tovyvygaipfxiqgjz" Type="http://schemas.openxmlformats.org/officeDocument/2006/relationships/hyperlink" Target="https://weddedwonderland.com/style-advice/diamond-buying-guide" TargetMode="External"/><Relationship Id="rIdtzi-uq3cqqryuwevm8xd1" Type="http://schemas.openxmlformats.org/officeDocument/2006/relationships/hyperlink" Target="https://weddedwonderland.com/style-advice/engagement-ring-styles" TargetMode="External"/><Relationship Id="rId87ndbm1yx9hmh7wcwrsua" Type="http://schemas.openxmlformats.org/officeDocument/2006/relationships/hyperlink" Target="https://weddedwonderland.com/style-advice/lab-grown-diamonds" TargetMode="External"/><Relationship Id="rIdlbebaeqvmk4kmt7gyfcct" Type="http://schemas.openxmlformats.org/officeDocument/2006/relationships/hyperlink" Target="https://weddedwonderland.com/proposal/how-to-propose-a-step-by-step-guide-to-the-perfect-moment" TargetMode="External"/><Relationship Id="rIdsvjmouw5t83knxosh4xkf" Type="http://schemas.openxmlformats.org/officeDocument/2006/relationships/hyperlink" Target="https://weddedwonderland.com/the-top-proposal-destinations-in-italy" TargetMode="External"/><Relationship Id="rIdbvvrsgbmnnnilvik3ali4" Type="http://schemas.openxmlformats.org/officeDocument/2006/relationships/hyperlink" Target="https://www.smartraveller.gov.au/travel-essentials/travel-insurance" TargetMode="External"/><Relationship Id="rIdlzgdkbrbtr_rjcptni_16" Type="http://schemas.openxmlformats.org/officeDocument/2006/relationships/hyperlink" Target="https://weddedwonderland.com/wonderland-concierge" TargetMode="External"/><Relationship Id="rIdfab2hk8fj08sm2jmohx3q" Type="http://schemas.openxmlformats.org/officeDocument/2006/relationships/hyperlink" Target="https://www.smartraveller.gov.au/while-overseas/protecting-yourself-crime/theft-and-robbery" TargetMode="External"/><Relationship Id="rId0y2jxk3m9skciur-0dygv" Type="http://schemas.openxmlformats.org/officeDocument/2006/relationships/hyperlink" Target="https://weddedwonderland.com/style-advice/engagement-ring-setting-for-active-lifestyle" TargetMode="External"/><Relationship Id="rId_ry-jceio2jqngpn5dp_j" Type="http://schemas.openxmlformats.org/officeDocument/2006/relationships/hyperlink" Target="https://www.afca.org.au/make-a-complaint" TargetMode="External"/><Relationship Id="rIdyknjh0ncgnbzbtqbr0tip" Type="http://schemas.openxmlformats.org/officeDocument/2006/relationships/hyperlink" Target="https://weddedwonderland.com/destination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2026-10-29T22:54:23.914Z</dcterms:created>
  <dcterms:modified xsi:type="dcterms:W3CDTF">2026-10-29T22:54:24.164Z</dcterms:modified>
</cp:coreProperties>
</file>

<file path=docProps/custom.xml><?xml version="1.0" encoding="utf-8"?>
<Properties xmlns="http://schemas.openxmlformats.org/officeDocument/2006/custom-properties" xmlns:vt="http://schemas.openxmlformats.org/officeDocument/2006/docPropsVTypes"/>
</file>