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B6924" w14:textId="7BF947E4" w:rsidR="00DE64D6" w:rsidRPr="00196A6C" w:rsidRDefault="00DE64D6" w:rsidP="00DA383A">
      <w:pPr>
        <w:pStyle w:val="NormalWeb"/>
        <w:shd w:val="clear" w:color="auto" w:fill="FFFFFF"/>
        <w:spacing w:before="180" w:beforeAutospacing="0" w:after="180" w:afterAutospacing="0"/>
      </w:pPr>
      <w:r w:rsidRPr="00196A6C">
        <w:t>Christian Carson</w:t>
      </w:r>
    </w:p>
    <w:p w14:paraId="55519BAB" w14:textId="3A29EDEF" w:rsidR="00DE64D6" w:rsidRDefault="00DE64D6" w:rsidP="00DA383A">
      <w:pPr>
        <w:pStyle w:val="NormalWeb"/>
        <w:shd w:val="clear" w:color="auto" w:fill="FFFFFF"/>
        <w:spacing w:before="180" w:beforeAutospacing="0" w:after="180" w:afterAutospacing="0"/>
      </w:pPr>
      <w:r w:rsidRPr="00196A6C">
        <w:t>REM621</w:t>
      </w:r>
    </w:p>
    <w:p w14:paraId="3037665E" w14:textId="1BF96310" w:rsidR="005702C0" w:rsidRPr="00196A6C" w:rsidRDefault="005702C0" w:rsidP="00DA383A">
      <w:pPr>
        <w:pStyle w:val="NormalWeb"/>
        <w:shd w:val="clear" w:color="auto" w:fill="FFFFFF"/>
        <w:spacing w:before="180" w:beforeAutospacing="0" w:after="180" w:afterAutospacing="0"/>
      </w:pPr>
      <w:r>
        <w:t>Assignment 3: Parts 1 &amp; 2</w:t>
      </w:r>
    </w:p>
    <w:p w14:paraId="72557348" w14:textId="7808A024" w:rsidR="00DA383A" w:rsidRPr="00196A6C" w:rsidRDefault="00DA383A" w:rsidP="00DA383A">
      <w:pPr>
        <w:pStyle w:val="NormalWeb"/>
        <w:shd w:val="clear" w:color="auto" w:fill="FFFFFF"/>
        <w:spacing w:before="180" w:beforeAutospacing="0" w:after="180" w:afterAutospacing="0"/>
      </w:pPr>
      <w:r w:rsidRPr="00196A6C">
        <w:t xml:space="preserve">You've been asked by an intergovernmental organization to help make an economic case for environmental protection. One question </w:t>
      </w:r>
      <w:proofErr w:type="gramStart"/>
      <w:r w:rsidRPr="00196A6C">
        <w:t>in particular is</w:t>
      </w:r>
      <w:proofErr w:type="gramEnd"/>
      <w:r w:rsidRPr="00196A6C">
        <w:t xml:space="preserve"> whether there is a relationship between indicators of environmental protection for different countries and their economic performance measured by GDP per capita. You're not too sure, but it's worth exploring. Using the dataset provided: </w:t>
      </w:r>
    </w:p>
    <w:p w14:paraId="533476AF" w14:textId="5701F66F" w:rsidR="00DA383A" w:rsidRPr="00196A6C" w:rsidRDefault="00DA383A" w:rsidP="00DE64D6">
      <w:pPr>
        <w:pStyle w:val="NormalWeb"/>
        <w:numPr>
          <w:ilvl w:val="0"/>
          <w:numId w:val="1"/>
        </w:numPr>
        <w:shd w:val="clear" w:color="auto" w:fill="FFFFFF"/>
        <w:spacing w:before="180" w:beforeAutospacing="0" w:after="180" w:afterAutospacing="0"/>
      </w:pPr>
      <w:r w:rsidRPr="00196A6C">
        <w:t>Provide a 2-3 paragraph critique of the indicators for environmental protection, social equity, and GDP per capita and what their limitations might be in terms of meaningfully representing national trends or relationships between social well-being and environmental sustainability (include references).</w:t>
      </w:r>
    </w:p>
    <w:p w14:paraId="1C210930" w14:textId="04734898" w:rsidR="00E101D4" w:rsidRPr="00196A6C" w:rsidRDefault="00E101D4" w:rsidP="00E101D4">
      <w:pPr>
        <w:pStyle w:val="NormalWeb"/>
        <w:shd w:val="clear" w:color="auto" w:fill="FFFFFF"/>
        <w:spacing w:before="180" w:beforeAutospacing="0" w:after="180" w:afterAutospacing="0"/>
      </w:pPr>
      <w:r w:rsidRPr="00196A6C">
        <w:t xml:space="preserve">The indicators </w:t>
      </w:r>
      <w:r w:rsidR="005C02CE" w:rsidRPr="00196A6C">
        <w:t>for</w:t>
      </w:r>
      <w:r w:rsidRPr="00196A6C">
        <w:t xml:space="preserve"> </w:t>
      </w:r>
      <w:r w:rsidR="00CE35E0">
        <w:t>E</w:t>
      </w:r>
      <w:r w:rsidRPr="00196A6C">
        <w:t xml:space="preserve">nvironmental </w:t>
      </w:r>
      <w:r w:rsidR="00CE35E0">
        <w:t>P</w:t>
      </w:r>
      <w:r w:rsidR="00683735" w:rsidRPr="00196A6C">
        <w:t>erformance</w:t>
      </w:r>
      <w:r w:rsidR="00CE35E0">
        <w:t xml:space="preserve"> Index (EPI)</w:t>
      </w:r>
      <w:r w:rsidRPr="00196A6C">
        <w:t xml:space="preserve">, </w:t>
      </w:r>
      <w:r w:rsidR="00CE35E0">
        <w:t>S</w:t>
      </w:r>
      <w:r w:rsidRPr="00196A6C">
        <w:t xml:space="preserve">ocial </w:t>
      </w:r>
      <w:r w:rsidR="00CE35E0">
        <w:t>E</w:t>
      </w:r>
      <w:r w:rsidRPr="00196A6C">
        <w:t>quity</w:t>
      </w:r>
      <w:r w:rsidR="00CE35E0">
        <w:t xml:space="preserve"> (SE)</w:t>
      </w:r>
      <w:r w:rsidRPr="00196A6C">
        <w:t xml:space="preserve">, and GDP per capita </w:t>
      </w:r>
      <w:r w:rsidR="00CE35E0">
        <w:t xml:space="preserve">(PPP) </w:t>
      </w:r>
      <w:r w:rsidRPr="00196A6C">
        <w:t xml:space="preserve">might be limited in their </w:t>
      </w:r>
      <w:r w:rsidR="009D2CC0" w:rsidRPr="00196A6C">
        <w:t xml:space="preserve">representation of social </w:t>
      </w:r>
      <w:r w:rsidR="002C599F" w:rsidRPr="00196A6C">
        <w:t xml:space="preserve">well-being and environmental sustainability </w:t>
      </w:r>
      <w:r w:rsidR="00263D48" w:rsidRPr="00196A6C">
        <w:t xml:space="preserve">and the relationships between them </w:t>
      </w:r>
      <w:r w:rsidR="002C599F" w:rsidRPr="00196A6C">
        <w:t xml:space="preserve">due to challenges in their scoping. </w:t>
      </w:r>
    </w:p>
    <w:p w14:paraId="17A5A8A0" w14:textId="30A97AAD" w:rsidR="00B910A3" w:rsidRPr="00196A6C" w:rsidRDefault="00DB7DEC" w:rsidP="00DB7DEC">
      <w:pPr>
        <w:pStyle w:val="NormalWeb"/>
        <w:shd w:val="clear" w:color="auto" w:fill="FFFFFF"/>
        <w:spacing w:before="180" w:beforeAutospacing="0" w:after="180" w:afterAutospacing="0"/>
      </w:pPr>
      <w:r w:rsidRPr="00196A6C">
        <w:rPr>
          <w:shd w:val="clear" w:color="auto" w:fill="FFFFFF"/>
        </w:rPr>
        <w:t xml:space="preserve">In the case of </w:t>
      </w:r>
      <w:r w:rsidR="00CE35E0">
        <w:rPr>
          <w:shd w:val="clear" w:color="auto" w:fill="FFFFFF"/>
        </w:rPr>
        <w:t xml:space="preserve">EPI, </w:t>
      </w:r>
      <w:r w:rsidRPr="00196A6C">
        <w:rPr>
          <w:shd w:val="clear" w:color="auto" w:fill="FFFFFF"/>
        </w:rPr>
        <w:t>the indicators used</w:t>
      </w:r>
      <w:r w:rsidR="00CE35E0">
        <w:rPr>
          <w:shd w:val="clear" w:color="auto" w:fill="FFFFFF"/>
        </w:rPr>
        <w:t xml:space="preserve"> for its </w:t>
      </w:r>
      <w:r w:rsidR="00782EE8">
        <w:rPr>
          <w:shd w:val="clear" w:color="auto" w:fill="FFFFFF"/>
        </w:rPr>
        <w:t>calculation</w:t>
      </w:r>
      <w:r w:rsidR="00B910A3" w:rsidRPr="00196A6C">
        <w:rPr>
          <w:shd w:val="clear" w:color="auto" w:fill="FFFFFF"/>
        </w:rPr>
        <w:t xml:space="preserve"> </w:t>
      </w:r>
      <w:r w:rsidR="00B910A3" w:rsidRPr="00196A6C">
        <w:t xml:space="preserve">can be </w:t>
      </w:r>
      <w:r w:rsidR="005C02CE" w:rsidRPr="00196A6C">
        <w:t>both too narrow and t</w:t>
      </w:r>
      <w:r w:rsidR="00263D48" w:rsidRPr="00196A6C">
        <w:t>o</w:t>
      </w:r>
      <w:r w:rsidR="005C02CE" w:rsidRPr="00196A6C">
        <w:t>o</w:t>
      </w:r>
      <w:r w:rsidR="00B910A3" w:rsidRPr="00196A6C">
        <w:t xml:space="preserve"> broad </w:t>
      </w:r>
      <w:r w:rsidR="005C02CE" w:rsidRPr="00196A6C">
        <w:t>in their scoping</w:t>
      </w:r>
      <w:r w:rsidR="00254DBF" w:rsidRPr="00196A6C">
        <w:t>, and therefore could misrepresent</w:t>
      </w:r>
      <w:r w:rsidR="00263D48" w:rsidRPr="00196A6C">
        <w:t xml:space="preserve"> </w:t>
      </w:r>
      <w:r w:rsidR="00254DBF" w:rsidRPr="00196A6C">
        <w:t>social well-being and environmental sustainability</w:t>
      </w:r>
      <w:r w:rsidR="00263D48" w:rsidRPr="00196A6C">
        <w:t xml:space="preserve"> on their own</w:t>
      </w:r>
      <w:r w:rsidRPr="00196A6C">
        <w:t xml:space="preserve">. </w:t>
      </w:r>
      <w:r w:rsidR="005C02CE" w:rsidRPr="00196A6C">
        <w:t>The</w:t>
      </w:r>
      <w:r w:rsidR="001E0C43" w:rsidRPr="00196A6C">
        <w:t xml:space="preserve">re </w:t>
      </w:r>
      <w:r w:rsidR="00112B12" w:rsidRPr="00196A6C">
        <w:t>was</w:t>
      </w:r>
      <w:r w:rsidR="001E0C43" w:rsidRPr="00196A6C">
        <w:t xml:space="preserve"> a total of 40</w:t>
      </w:r>
      <w:r w:rsidR="005C02CE" w:rsidRPr="00196A6C">
        <w:t xml:space="preserve"> indicators</w:t>
      </w:r>
      <w:r w:rsidR="001E0C43" w:rsidRPr="00196A6C">
        <w:t xml:space="preserve"> developed for EPI, many of which were very broad in their scope</w:t>
      </w:r>
      <w:r w:rsidR="0020159B" w:rsidRPr="00196A6C">
        <w:t xml:space="preserve"> or had </w:t>
      </w:r>
      <w:r w:rsidR="00290B88" w:rsidRPr="00196A6C">
        <w:t xml:space="preserve">a narrow scope due to </w:t>
      </w:r>
      <w:r w:rsidR="0020159B" w:rsidRPr="00196A6C">
        <w:t>limited data</w:t>
      </w:r>
      <w:r w:rsidR="001E0C43" w:rsidRPr="00196A6C">
        <w:t xml:space="preserve">. For instance, air quality indicators (PMD, HAD, OZD, etc.) </w:t>
      </w:r>
      <w:r w:rsidR="00112B12" w:rsidRPr="00196A6C">
        <w:t xml:space="preserve">and sanitation indicators (USD &amp; UWD) </w:t>
      </w:r>
      <w:r w:rsidR="001E0C43" w:rsidRPr="00196A6C">
        <w:t xml:space="preserve">were all standardized </w:t>
      </w:r>
      <w:r w:rsidR="00112B12" w:rsidRPr="00196A6C">
        <w:t>using age-standardized disability-adjusted life-years lost per 100,000 persons in a given country (DALYs)</w:t>
      </w:r>
      <w:r w:rsidR="001E0C43" w:rsidRPr="00196A6C">
        <w:t xml:space="preserve"> and thus may not capture localized pollution within countries</w:t>
      </w:r>
      <w:r w:rsidR="00112B12" w:rsidRPr="00196A6C">
        <w:t xml:space="preserve"> </w:t>
      </w:r>
      <w:r w:rsidR="00112B12" w:rsidRPr="00196A6C">
        <w:fldChar w:fldCharType="begin"/>
      </w:r>
      <w:r w:rsidR="00913C98" w:rsidRPr="00196A6C">
        <w:instrText xml:space="preserve"> ADDIN ZOTERO_ITEM CSL_CITATION {"citationID":"NhkrJp8n","properties":{"formattedCitation":"(Wolf et al., 2022)","plainCitation":"(Wolf et al., 2022)","noteIndex":0},"citationItems":[{"id":1564,"uris":["http://zotero.org/users/7094349/items/VX6BLIQK"],"itemData":{"id":1564,"type":"article-journal","container-title":"Yale Center for Environmental Law &amp; Policy","title":"Environmental Performance Index Technical Document","URL":"epi.yale.edu","author":[{"family":"Wolf","given":"M.J."},{"family":"Emerson","given":"J.W."},{"family":"Etsy","given":"D.C."},{"family":"Sherbinin","given":"A.","non-dropping-particle":"de"},{"family":"Wendling","given":"","suffix":"Z. A."}],"issued":{"date-parts":[["2022"]]}}}],"schema":"https://github.com/citation-style-language/schema/raw/master/csl-citation.json"} </w:instrText>
      </w:r>
      <w:r w:rsidR="00112B12" w:rsidRPr="00196A6C">
        <w:fldChar w:fldCharType="separate"/>
      </w:r>
      <w:r w:rsidR="0056652F" w:rsidRPr="00196A6C">
        <w:rPr>
          <w:noProof/>
        </w:rPr>
        <w:t>(Wolf et al., 2022)</w:t>
      </w:r>
      <w:r w:rsidR="00112B12" w:rsidRPr="00196A6C">
        <w:fldChar w:fldCharType="end"/>
      </w:r>
      <w:r w:rsidR="001E0C43" w:rsidRPr="00196A6C">
        <w:t>.</w:t>
      </w:r>
      <w:r w:rsidR="009D2CC0" w:rsidRPr="00196A6C">
        <w:t xml:space="preserve"> </w:t>
      </w:r>
      <w:r w:rsidR="00263D48" w:rsidRPr="00196A6C">
        <w:t>This scope of these indicators</w:t>
      </w:r>
      <w:r w:rsidR="009D2CC0" w:rsidRPr="00196A6C">
        <w:t xml:space="preserve"> could miss more localized impacts, thereby misrepresenting social well-being.</w:t>
      </w:r>
      <w:r w:rsidR="0056652F" w:rsidRPr="00196A6C">
        <w:t xml:space="preserve"> </w:t>
      </w:r>
      <w:r w:rsidR="0020159B" w:rsidRPr="00196A6C">
        <w:t>The</w:t>
      </w:r>
      <w:r w:rsidR="0056652F" w:rsidRPr="00196A6C">
        <w:t xml:space="preserve"> indicators for habitat loss (TCL, GRL, WTL)</w:t>
      </w:r>
      <w:r w:rsidR="0020159B" w:rsidRPr="00196A6C">
        <w:t xml:space="preserve"> all have relatively limited timescales to describe loss. These all were quantified using a five-year moving average of percentage of gross losses in areas since the reference year, the oldest of which dated back to 1992. Therefore, the</w:t>
      </w:r>
      <w:r w:rsidR="00254DBF" w:rsidRPr="00196A6C">
        <w:t xml:space="preserve"> indicators for habitat loss</w:t>
      </w:r>
      <w:r w:rsidR="0020159B" w:rsidRPr="00196A6C">
        <w:t xml:space="preserve"> may not capture the loss </w:t>
      </w:r>
      <w:r w:rsidR="00254DBF" w:rsidRPr="00196A6C">
        <w:t>and has undoubtedly occurred prior to the late 19</w:t>
      </w:r>
      <w:r w:rsidR="00254DBF" w:rsidRPr="00196A6C">
        <w:rPr>
          <w:vertAlign w:val="superscript"/>
        </w:rPr>
        <w:t>th</w:t>
      </w:r>
      <w:r w:rsidR="00254DBF" w:rsidRPr="00196A6C">
        <w:t xml:space="preserve"> century, thereby misrepresenting environmental sustainability.  </w:t>
      </w:r>
      <w:r w:rsidR="0020159B" w:rsidRPr="00196A6C">
        <w:t xml:space="preserve"> </w:t>
      </w:r>
    </w:p>
    <w:p w14:paraId="6079DB70" w14:textId="061AF531" w:rsidR="00B910A3" w:rsidRPr="00196A6C" w:rsidRDefault="00CE35E0" w:rsidP="00290B88">
      <w:pPr>
        <w:pStyle w:val="NormalWeb"/>
        <w:shd w:val="clear" w:color="auto" w:fill="FFFFFF"/>
        <w:spacing w:before="180" w:beforeAutospacing="0" w:after="180" w:afterAutospacing="0"/>
      </w:pPr>
      <w:r>
        <w:t>The contributing indicators for SE</w:t>
      </w:r>
      <w:r w:rsidR="00B910A3" w:rsidRPr="00196A6C">
        <w:t xml:space="preserve"> may not reflect </w:t>
      </w:r>
      <w:r>
        <w:t>the</w:t>
      </w:r>
      <w:r w:rsidR="00305027" w:rsidRPr="00196A6C">
        <w:t xml:space="preserve"> </w:t>
      </w:r>
      <w:r w:rsidR="00B910A3" w:rsidRPr="00196A6C">
        <w:t xml:space="preserve">full </w:t>
      </w:r>
      <w:r w:rsidR="00897608" w:rsidRPr="00196A6C">
        <w:t>picture</w:t>
      </w:r>
      <w:r w:rsidR="00B910A3" w:rsidRPr="00196A6C">
        <w:t xml:space="preserve"> of social </w:t>
      </w:r>
      <w:r w:rsidR="00305027" w:rsidRPr="00196A6C">
        <w:t>inequities, especially for underrepresented groups such as First Nations and Indigenous peoples</w:t>
      </w:r>
      <w:r w:rsidR="00263D48" w:rsidRPr="00196A6C">
        <w:t>, in turn misrepresenting understandings of social well-being</w:t>
      </w:r>
      <w:r w:rsidR="00305027" w:rsidRPr="00196A6C">
        <w:t>. For example, the Fragile States Index</w:t>
      </w:r>
      <w:r w:rsidR="00242A42" w:rsidRPr="00196A6C">
        <w:t xml:space="preserve"> indicators</w:t>
      </w:r>
      <w:r w:rsidR="00305027" w:rsidRPr="00196A6C">
        <w:t xml:space="preserve"> have been used as indicators for S</w:t>
      </w:r>
      <w:r>
        <w:t>E</w:t>
      </w:r>
      <w:r w:rsidR="00242A42" w:rsidRPr="00196A6C">
        <w:t xml:space="preserve">, and some of them may lack </w:t>
      </w:r>
      <w:r w:rsidR="00340B06" w:rsidRPr="00196A6C">
        <w:t xml:space="preserve">a scope that accurately represents the </w:t>
      </w:r>
      <w:r w:rsidR="00242A42" w:rsidRPr="00196A6C">
        <w:t xml:space="preserve">historical </w:t>
      </w:r>
      <w:r w:rsidR="00340B06" w:rsidRPr="00196A6C">
        <w:t>and</w:t>
      </w:r>
      <w:r w:rsidR="00242A42" w:rsidRPr="00196A6C">
        <w:t xml:space="preserve"> ongoing impact of colonialism</w:t>
      </w:r>
      <w:r w:rsidR="00BC7C3C" w:rsidRPr="00196A6C">
        <w:t xml:space="preserve"> </w:t>
      </w:r>
      <w:r w:rsidR="00BC7C3C" w:rsidRPr="00196A6C">
        <w:fldChar w:fldCharType="begin"/>
      </w:r>
      <w:r w:rsidR="003C5F9E" w:rsidRPr="00196A6C">
        <w:instrText xml:space="preserve"> ADDIN ZOTERO_ITEM CSL_CITATION {"citationID":"5DnnwZdz","properties":{"formattedCitation":"(Cisneros-Montemayor et al., 2021; Messner et al., 2018)","plainCitation":"(Cisneros-Montemayor et al., 2021; Messner et al., 2018)","noteIndex":0},"citationItems":[{"id":1562,"uris":["http://zotero.org/users/7094349/items/K9IKWDVC"],"itemData":{"id":1562,"type":"article-journal","container-title":"Nature","DOI":"10.1038/s41586-021-03327-3","ISSN":"0028-0836, 1476-4687","issue":"7850","journalAbbreviation":"Nature","language":"en","page":"396-401","source":"DOI.org (Crossref)","title":"Supplementary information for Enabling conditions for an equitable and sustainable blue economy","URL":"https://www.nature.com/articles/s41586-021-03327-3","volume":"591","author":[{"family":"Cisneros-Montemayor","given":"Andrés M."},{"family":"Moreno-Báez","given":"Marcia"},{"family":"Reygondeau","given":"Gabriel"},{"family":"Cheung","given":"William W. L."},{"family":"Crosman","given":"Katherine M."},{"family":"González-Espinosa","given":"Pedro C."},{"family":"Lam","given":"Vicky W. Y."},{"family":"Oyinlola","given":"Muhammed A."},{"family":"Singh","given":"Gerald G."},{"family":"Swartz","given":"Wilf"},{"family":"Zheng","given":"Chong-wei"},{"family":"Ota","given":"Yoshitaka"}],"accessed":{"date-parts":[["2023",12,6]]},"issued":{"date-parts":[["2021",3,18]]}}},{"id":1566,"uris":["http://zotero.org/users/7094349/items/5CSKIB3X"],"itemData":{"id":1566,"type":"report","event-place":"1101 14th Street NW, Suite 1020, Washington, D.C.","language":"en","publisher":"The Fund for Peace","publisher-place":"1101 14th Street NW, Suite 1020, Washington, D.C.","source":"Zotero","title":"The Fragile States Index","author":[{"family":"Messner","given":"J J"},{"family":"Haken","given":"Nate"},{"family":"Taft","given":"Patricia"},{"family":"Blyth","given":"Hannah"},{"family":"Maglo","given":"Marcel"},{"family":"Murphy","given":"Christina"},{"family":"Quinn","given":"Amanda"},{"family":"Carlson","given":"Trace"},{"family":"Chandler","given":"Oliver"},{"family":"Horwitz","given":"McKenzie"},{"family":"Jesch","given":"Lauren"},{"family":"Mathias","given":"Becca"},{"family":"Wilson","given":"Wendy"}],"issued":{"date-parts":[["2018"]]}}}],"schema":"https://github.com/citation-style-language/schema/raw/master/csl-citation.json"} </w:instrText>
      </w:r>
      <w:r w:rsidR="00BC7C3C" w:rsidRPr="00196A6C">
        <w:fldChar w:fldCharType="separate"/>
      </w:r>
      <w:r w:rsidR="003C5F9E" w:rsidRPr="00196A6C">
        <w:rPr>
          <w:noProof/>
        </w:rPr>
        <w:t>(Cisneros-Montemayor et al., 2021; Messner et al., 2018)</w:t>
      </w:r>
      <w:r w:rsidR="00BC7C3C" w:rsidRPr="00196A6C">
        <w:fldChar w:fldCharType="end"/>
      </w:r>
      <w:r w:rsidR="00340B06" w:rsidRPr="00196A6C">
        <w:t>. Within the Fragile States Indicator for Group Grievance, there are many questions that outline the scope of the indicator, such as</w:t>
      </w:r>
      <w:r w:rsidR="00D7604C" w:rsidRPr="00196A6C">
        <w:t xml:space="preserve"> those for Post-Conflict Responses. Within the Post-Conflict Response questions, many address </w:t>
      </w:r>
      <w:proofErr w:type="gramStart"/>
      <w:r w:rsidR="00D7604C" w:rsidRPr="00196A6C">
        <w:t>whether or not</w:t>
      </w:r>
      <w:proofErr w:type="gramEnd"/>
      <w:r w:rsidR="00D7604C" w:rsidRPr="00196A6C">
        <w:t xml:space="preserve"> a response to conflict has been initiated at the national scale</w:t>
      </w:r>
      <w:r w:rsidR="003673A6" w:rsidRPr="00196A6C">
        <w:t xml:space="preserve"> (e.g. “Does a Truth &amp; Reconciliation process exist or is one needed?”)</w:t>
      </w:r>
      <w:r w:rsidR="00D7604C" w:rsidRPr="00196A6C">
        <w:t>, but none of the questions</w:t>
      </w:r>
      <w:r w:rsidR="003673A6" w:rsidRPr="00196A6C">
        <w:t xml:space="preserve"> in this category</w:t>
      </w:r>
      <w:r w:rsidR="00D7604C" w:rsidRPr="00196A6C">
        <w:t xml:space="preserve"> bring into consideration </w:t>
      </w:r>
      <w:r w:rsidR="003673A6" w:rsidRPr="00196A6C">
        <w:t xml:space="preserve">the spatial scale of this question and its variance across groups over time. Further, because </w:t>
      </w:r>
      <w:r w:rsidR="00BC7C3C" w:rsidRPr="00196A6C">
        <w:t xml:space="preserve">the data for </w:t>
      </w:r>
      <w:r w:rsidR="003673A6" w:rsidRPr="00196A6C">
        <w:t>each of the Fragile States indicator</w:t>
      </w:r>
      <w:r w:rsidR="00BC7C3C" w:rsidRPr="00196A6C">
        <w:t>s</w:t>
      </w:r>
      <w:r w:rsidR="003673A6" w:rsidRPr="00196A6C">
        <w:t xml:space="preserve"> are sourced and coded from media </w:t>
      </w:r>
      <w:r w:rsidR="003673A6" w:rsidRPr="00196A6C">
        <w:lastRenderedPageBreak/>
        <w:t>articles</w:t>
      </w:r>
      <w:r w:rsidR="00254DBF" w:rsidRPr="00196A6C">
        <w:t xml:space="preserve">, </w:t>
      </w:r>
      <w:r w:rsidR="003673A6" w:rsidRPr="00196A6C">
        <w:t xml:space="preserve">reports, </w:t>
      </w:r>
      <w:r w:rsidR="00254DBF" w:rsidRPr="00196A6C">
        <w:t xml:space="preserve">and </w:t>
      </w:r>
      <w:r w:rsidR="003673A6" w:rsidRPr="00196A6C">
        <w:t>quantitative datasets, which are primarily</w:t>
      </w:r>
      <w:r w:rsidR="00BC7C3C" w:rsidRPr="00196A6C">
        <w:t xml:space="preserve"> representative of Western values, they might not accurately represent the issues pertinent to indigenous communities.</w:t>
      </w:r>
    </w:p>
    <w:p w14:paraId="5A3156E5" w14:textId="3F7F9C42" w:rsidR="00E47C87" w:rsidRPr="00196A6C" w:rsidRDefault="00CE35E0" w:rsidP="00021793">
      <w:pPr>
        <w:pStyle w:val="NormalWeb"/>
        <w:shd w:val="clear" w:color="auto" w:fill="FFFFFF"/>
        <w:spacing w:before="180" w:beforeAutospacing="0" w:after="180" w:afterAutospacing="0"/>
      </w:pPr>
      <w:r>
        <w:t>PPP</w:t>
      </w:r>
      <w:r w:rsidR="0054545E" w:rsidRPr="00196A6C">
        <w:t xml:space="preserve"> does not have </w:t>
      </w:r>
      <w:r w:rsidR="003C5F9E" w:rsidRPr="00196A6C">
        <w:t xml:space="preserve">contributing </w:t>
      </w:r>
      <w:r w:rsidR="0054545E" w:rsidRPr="00196A6C">
        <w:t>indicators</w:t>
      </w:r>
      <w:r w:rsidR="003C5F9E" w:rsidRPr="00196A6C">
        <w:t xml:space="preserve"> that makeup its </w:t>
      </w:r>
      <w:r w:rsidR="00642F2C" w:rsidRPr="00196A6C">
        <w:t>metric</w:t>
      </w:r>
      <w:r w:rsidR="003C5F9E" w:rsidRPr="00196A6C">
        <w:t xml:space="preserve"> like the </w:t>
      </w:r>
      <w:proofErr w:type="spellStart"/>
      <w:r>
        <w:t>indicies</w:t>
      </w:r>
      <w:proofErr w:type="spellEnd"/>
      <w:r w:rsidR="003C5F9E" w:rsidRPr="00196A6C">
        <w:t xml:space="preserve"> above, therefore I will be critiquing </w:t>
      </w:r>
      <w:r>
        <w:t>PPP</w:t>
      </w:r>
      <w:r w:rsidR="003C5F9E" w:rsidRPr="00196A6C">
        <w:t xml:space="preserve"> as an indicator overall. According to </w:t>
      </w:r>
      <w:r w:rsidR="00913C98" w:rsidRPr="00196A6C">
        <w:t>T</w:t>
      </w:r>
      <w:r w:rsidR="003C5F9E" w:rsidRPr="00196A6C">
        <w:t xml:space="preserve">he </w:t>
      </w:r>
      <w:r w:rsidR="00913C98" w:rsidRPr="00196A6C">
        <w:t>W</w:t>
      </w:r>
      <w:r w:rsidR="003C5F9E" w:rsidRPr="00196A6C">
        <w:t xml:space="preserve">orld </w:t>
      </w:r>
      <w:r w:rsidR="00913C98" w:rsidRPr="00196A6C">
        <w:t>B</w:t>
      </w:r>
      <w:r w:rsidR="003C5F9E" w:rsidRPr="00196A6C">
        <w:t>ank</w:t>
      </w:r>
      <w:r w:rsidR="00913C98" w:rsidRPr="00196A6C">
        <w:t xml:space="preserve"> Metadata Glossary</w:t>
      </w:r>
      <w:r w:rsidR="003C5F9E" w:rsidRPr="00196A6C">
        <w:t>, GDP per capita</w:t>
      </w:r>
      <w:r>
        <w:t xml:space="preserve"> or PPP</w:t>
      </w:r>
      <w:r w:rsidR="003C5F9E" w:rsidRPr="00196A6C">
        <w:t xml:space="preserve"> is “the sum of gross value added by all resident producers in the economy plus any product taxes (less subsidies) not included in the valuation of output, divided by mid-year population” </w:t>
      </w:r>
      <w:r w:rsidR="00913C98" w:rsidRPr="00196A6C">
        <w:fldChar w:fldCharType="begin"/>
      </w:r>
      <w:r w:rsidR="00E02A63">
        <w:instrText xml:space="preserve"> ADDIN ZOTERO_ITEM CSL_CITATION {"citationID":"CjJmGDlj","properties":{"formattedCitation":"({\\i{}Metadata Gloassary - GDP Growth (GDP per Capita Growth)}, 2023)","plainCitation":"(Metadata Gloassary - GDP Growth (GDP per Capita Growth), 2023)","dontUpdate":true,"noteIndex":0},"citationItems":[{"id":1567,"uris":["http://zotero.org/users/7094349/items/J4KH6YI8"],"itemData":{"id":1567,"type":"dataset","number":"5.51.01.10.gdp","publisher":"The World Bank","title":"Metadata Glossary - GDP growth (GDP per capita growth)","URL":"https://databank.worldbank.org/metadataglossary/statistical-capacity-indicators/series/5.51.01.10.gdp#:~:text=Long%20definition-,GDP%20per%20capita%20is%20the%20sum%20of%20gross%20value%20added,GDP%20data%20in%20local%20currency.","author":[{"family":"The World Bank","given":""}],"issued":{"date-parts":[["2023"]]}}}],"schema":"https://github.com/citation-style-language/schema/raw/master/csl-citation.json"} </w:instrText>
      </w:r>
      <w:r w:rsidR="00913C98" w:rsidRPr="00196A6C">
        <w:fldChar w:fldCharType="separate"/>
      </w:r>
      <w:r w:rsidR="00913C98" w:rsidRPr="00196A6C">
        <w:rPr>
          <w:lang w:val="en-US"/>
        </w:rPr>
        <w:t>(2023)</w:t>
      </w:r>
      <w:r w:rsidR="00913C98" w:rsidRPr="00196A6C">
        <w:fldChar w:fldCharType="end"/>
      </w:r>
      <w:r w:rsidR="003C5F9E" w:rsidRPr="00196A6C">
        <w:t xml:space="preserve">. </w:t>
      </w:r>
      <w:r w:rsidR="00F53199" w:rsidRPr="00196A6C">
        <w:t xml:space="preserve">Though </w:t>
      </w:r>
      <w:r w:rsidR="0006219C" w:rsidRPr="00196A6C">
        <w:t xml:space="preserve">the calculation for </w:t>
      </w:r>
      <w:r>
        <w:t>PPP</w:t>
      </w:r>
      <w:r w:rsidR="0006219C" w:rsidRPr="00196A6C">
        <w:t xml:space="preserve"> is </w:t>
      </w:r>
      <w:r w:rsidR="00F53199" w:rsidRPr="00196A6C">
        <w:t xml:space="preserve">straight forward, there are many issues </w:t>
      </w:r>
      <w:r w:rsidR="0006219C" w:rsidRPr="00196A6C">
        <w:t xml:space="preserve">in </w:t>
      </w:r>
      <w:r w:rsidR="00F53199" w:rsidRPr="00196A6C">
        <w:t xml:space="preserve">its representation of social well-being. The biggest one (which we discussed in class) is that </w:t>
      </w:r>
      <w:r>
        <w:t>PPP</w:t>
      </w:r>
      <w:r w:rsidR="00F53199" w:rsidRPr="00196A6C">
        <w:t xml:space="preserve"> does not consider natural disasters</w:t>
      </w:r>
      <w:r w:rsidR="0006219C" w:rsidRPr="00196A6C">
        <w:t xml:space="preserve"> impact on social well-being</w:t>
      </w:r>
      <w:r w:rsidR="00C80C5E" w:rsidRPr="00196A6C">
        <w:t>, and instead falsely indicates improvements in social well-being</w:t>
      </w:r>
      <w:r w:rsidR="0006219C" w:rsidRPr="00196A6C">
        <w:t>.</w:t>
      </w:r>
      <w:r w:rsidR="00F53199" w:rsidRPr="00196A6C">
        <w:t xml:space="preserve"> </w:t>
      </w:r>
      <w:r>
        <w:t>PPP</w:t>
      </w:r>
      <w:r w:rsidR="00F53199" w:rsidRPr="00196A6C">
        <w:t xml:space="preserve"> is</w:t>
      </w:r>
      <w:r w:rsidR="0006219C" w:rsidRPr="00196A6C">
        <w:t xml:space="preserve"> generally</w:t>
      </w:r>
      <w:r w:rsidR="00F53199" w:rsidRPr="00196A6C">
        <w:t xml:space="preserve"> inflated following disasters due to rebuilding efforts</w:t>
      </w:r>
      <w:r w:rsidR="0006219C" w:rsidRPr="00196A6C">
        <w:t xml:space="preserve"> </w:t>
      </w:r>
      <w:r w:rsidR="0006219C" w:rsidRPr="00196A6C">
        <w:fldChar w:fldCharType="begin"/>
      </w:r>
      <w:r w:rsidR="0006219C" w:rsidRPr="00196A6C">
        <w:instrText xml:space="preserve"> ADDIN ZOTERO_ITEM CSL_CITATION {"citationID":"gEzXzFhB","properties":{"formattedCitation":"(Cavallo et al., 2010)","plainCitation":"(Cavallo et al., 2010)","noteIndex":0},"citationItems":[{"id":1571,"uris":["http://zotero.org/users/7094349/items/JWE2XUZ7"],"itemData":{"id":1571,"type":"article-journal","language":"en","source":"Zotero","title":"Catastrophic Natural Disasters and Economic Growth","author":[{"family":"Cavallo","given":"Eduardo"},{"family":"Galiani","given":"Sebastian"},{"family":"Noy","given":"Ilan"},{"family":"Pantano","given":"Juan"}],"issued":{"date-parts":[["2010"]]}}}],"schema":"https://github.com/citation-style-language/schema/raw/master/csl-citation.json"} </w:instrText>
      </w:r>
      <w:r w:rsidR="0006219C" w:rsidRPr="00196A6C">
        <w:fldChar w:fldCharType="separate"/>
      </w:r>
      <w:r w:rsidR="0006219C" w:rsidRPr="00196A6C">
        <w:rPr>
          <w:noProof/>
        </w:rPr>
        <w:t>(Cavallo et al., 2010)</w:t>
      </w:r>
      <w:r w:rsidR="0006219C" w:rsidRPr="00196A6C">
        <w:fldChar w:fldCharType="end"/>
      </w:r>
      <w:r w:rsidR="00F53199" w:rsidRPr="00196A6C">
        <w:t>.</w:t>
      </w:r>
      <w:r w:rsidR="00C80C5E" w:rsidRPr="00196A6C">
        <w:t xml:space="preserve"> </w:t>
      </w:r>
      <w:r w:rsidR="009C6C03">
        <w:t>PPP</w:t>
      </w:r>
      <w:r w:rsidR="00F53199" w:rsidRPr="00196A6C">
        <w:t xml:space="preserve"> does not reflect the net loss in capital from these events</w:t>
      </w:r>
      <w:r w:rsidR="0006219C" w:rsidRPr="00196A6C">
        <w:t xml:space="preserve"> and nor the</w:t>
      </w:r>
      <w:r w:rsidR="00C80C5E" w:rsidRPr="00196A6C">
        <w:t xml:space="preserve"> loss resources and quality of life. Altogether, this shows how </w:t>
      </w:r>
      <w:r w:rsidR="009C6C03">
        <w:t>PPP</w:t>
      </w:r>
      <w:r w:rsidR="00C80C5E" w:rsidRPr="00196A6C">
        <w:t xml:space="preserve"> can be a misleading metric of social well-being.</w:t>
      </w:r>
    </w:p>
    <w:p w14:paraId="087A1333" w14:textId="455A8350" w:rsidR="00B54FB8" w:rsidRPr="00196A6C" w:rsidRDefault="00B54FB8" w:rsidP="0072709C">
      <w:pPr>
        <w:pStyle w:val="NormalWeb"/>
        <w:numPr>
          <w:ilvl w:val="0"/>
          <w:numId w:val="1"/>
        </w:numPr>
        <w:shd w:val="clear" w:color="auto" w:fill="FFFFFF"/>
        <w:spacing w:before="180" w:beforeAutospacing="0" w:after="180" w:afterAutospacing="0"/>
        <w:rPr>
          <w:shd w:val="clear" w:color="auto" w:fill="FFFFFF"/>
        </w:rPr>
      </w:pPr>
      <w:r w:rsidRPr="00196A6C">
        <w:rPr>
          <w:shd w:val="clear" w:color="auto" w:fill="FFFFFF"/>
        </w:rPr>
        <w:t xml:space="preserve">Use regression models to test whether there is a correlation between </w:t>
      </w:r>
      <w:proofErr w:type="gramStart"/>
      <w:r w:rsidRPr="00196A6C">
        <w:rPr>
          <w:shd w:val="clear" w:color="auto" w:fill="FFFFFF"/>
        </w:rPr>
        <w:t>GDP</w:t>
      </w:r>
      <w:proofErr w:type="gramEnd"/>
      <w:r w:rsidRPr="00196A6C">
        <w:rPr>
          <w:shd w:val="clear" w:color="auto" w:fill="FFFFFF"/>
        </w:rPr>
        <w:t xml:space="preserve"> per capita and environmental protection. Also, test whether there is a correlation between the social equity indicator and GDP per capita. (You can do this using multiple regression, or just a second regression analysis.) Show your results in graphs and include a short (1-2 paragraph summary) of your findings. </w:t>
      </w:r>
    </w:p>
    <w:p w14:paraId="6F68B1A3" w14:textId="77777777" w:rsidR="0072709C" w:rsidRPr="00196A6C" w:rsidRDefault="0072709C" w:rsidP="0072709C">
      <w:pPr>
        <w:pStyle w:val="NormalWeb"/>
        <w:shd w:val="clear" w:color="auto" w:fill="FFFFFF"/>
        <w:spacing w:before="180" w:beforeAutospacing="0" w:after="180" w:afterAutospacing="0"/>
        <w:jc w:val="center"/>
      </w:pPr>
      <w:r w:rsidRPr="00196A6C">
        <w:rPr>
          <w:noProof/>
          <w14:ligatures w14:val="standardContextual"/>
        </w:rPr>
        <w:lastRenderedPageBreak/>
        <w:drawing>
          <wp:inline distT="0" distB="0" distL="0" distR="0" wp14:anchorId="50E80840" wp14:editId="2162B3DB">
            <wp:extent cx="5479774" cy="5744210"/>
            <wp:effectExtent l="0" t="0" r="0" b="0"/>
            <wp:docPr id="1171447219"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47219" name="Picture 1" descr="A graph with lines and numbers&#10;&#10;Description automatically generated"/>
                    <pic:cNvPicPr/>
                  </pic:nvPicPr>
                  <pic:blipFill rotWithShape="1">
                    <a:blip r:embed="rId6">
                      <a:extLst>
                        <a:ext uri="{28A0092B-C50C-407E-A947-70E740481C1C}">
                          <a14:useLocalDpi xmlns:a14="http://schemas.microsoft.com/office/drawing/2010/main" val="0"/>
                        </a:ext>
                      </a:extLst>
                    </a:blip>
                    <a:srcRect b="992"/>
                    <a:stretch/>
                  </pic:blipFill>
                  <pic:spPr bwMode="auto">
                    <a:xfrm>
                      <a:off x="0" y="0"/>
                      <a:ext cx="5491667" cy="5756677"/>
                    </a:xfrm>
                    <a:prstGeom prst="rect">
                      <a:avLst/>
                    </a:prstGeom>
                    <a:ln>
                      <a:noFill/>
                    </a:ln>
                    <a:extLst>
                      <a:ext uri="{53640926-AAD7-44D8-BBD7-CCE9431645EC}">
                        <a14:shadowObscured xmlns:a14="http://schemas.microsoft.com/office/drawing/2010/main"/>
                      </a:ext>
                    </a:extLst>
                  </pic:spPr>
                </pic:pic>
              </a:graphicData>
            </a:graphic>
          </wp:inline>
        </w:drawing>
      </w:r>
    </w:p>
    <w:p w14:paraId="693D69A3" w14:textId="469F7ECD" w:rsidR="00196A6C" w:rsidRPr="0093368E" w:rsidRDefault="00196A6C" w:rsidP="00196A6C">
      <w:pPr>
        <w:pStyle w:val="NormalWeb"/>
        <w:shd w:val="clear" w:color="auto" w:fill="FFFFFF"/>
        <w:spacing w:before="180" w:beforeAutospacing="0" w:after="180" w:afterAutospacing="0"/>
        <w:rPr>
          <w:sz w:val="21"/>
          <w:szCs w:val="21"/>
        </w:rPr>
      </w:pPr>
      <w:r w:rsidRPr="00196A6C">
        <w:rPr>
          <w:sz w:val="21"/>
          <w:szCs w:val="21"/>
        </w:rPr>
        <w:t xml:space="preserve">Figure 1: </w:t>
      </w:r>
      <w:r w:rsidR="00850953">
        <w:rPr>
          <w:sz w:val="21"/>
          <w:szCs w:val="21"/>
        </w:rPr>
        <w:t xml:space="preserve">Various linear models showing </w:t>
      </w:r>
      <w:r w:rsidRPr="00196A6C">
        <w:rPr>
          <w:sz w:val="21"/>
          <w:szCs w:val="21"/>
        </w:rPr>
        <w:t xml:space="preserve">GDP per </w:t>
      </w:r>
      <w:r w:rsidR="00CE35E0">
        <w:rPr>
          <w:sz w:val="21"/>
          <w:szCs w:val="21"/>
        </w:rPr>
        <w:t>c</w:t>
      </w:r>
      <w:r w:rsidRPr="00196A6C">
        <w:rPr>
          <w:sz w:val="21"/>
          <w:szCs w:val="21"/>
        </w:rPr>
        <w:t>apita</w:t>
      </w:r>
      <w:r w:rsidR="00850953">
        <w:rPr>
          <w:sz w:val="21"/>
          <w:szCs w:val="21"/>
        </w:rPr>
        <w:t>’s</w:t>
      </w:r>
      <w:r w:rsidRPr="00196A6C">
        <w:rPr>
          <w:sz w:val="21"/>
          <w:szCs w:val="21"/>
        </w:rPr>
        <w:t xml:space="preserve"> </w:t>
      </w:r>
      <w:r w:rsidR="0093368E">
        <w:rPr>
          <w:sz w:val="21"/>
          <w:szCs w:val="21"/>
        </w:rPr>
        <w:t>(</w:t>
      </w:r>
      <w:r w:rsidRPr="00196A6C">
        <w:rPr>
          <w:sz w:val="21"/>
          <w:szCs w:val="21"/>
        </w:rPr>
        <w:t>PPP</w:t>
      </w:r>
      <w:r w:rsidR="0093368E">
        <w:rPr>
          <w:sz w:val="21"/>
          <w:szCs w:val="21"/>
        </w:rPr>
        <w:t>)</w:t>
      </w:r>
      <w:r w:rsidRPr="00196A6C">
        <w:rPr>
          <w:sz w:val="21"/>
          <w:szCs w:val="21"/>
        </w:rPr>
        <w:t xml:space="preserve"> </w:t>
      </w:r>
      <w:r w:rsidR="00850953">
        <w:rPr>
          <w:sz w:val="21"/>
          <w:szCs w:val="21"/>
        </w:rPr>
        <w:t xml:space="preserve">impact on </w:t>
      </w:r>
      <w:r w:rsidRPr="00196A6C">
        <w:rPr>
          <w:sz w:val="21"/>
          <w:szCs w:val="21"/>
        </w:rPr>
        <w:t>Environmental Performance Index (EPI)</w:t>
      </w:r>
      <w:r w:rsidR="0093368E">
        <w:rPr>
          <w:sz w:val="21"/>
          <w:szCs w:val="21"/>
        </w:rPr>
        <w:t xml:space="preserve"> and </w:t>
      </w:r>
      <w:r w:rsidRPr="00196A6C">
        <w:rPr>
          <w:sz w:val="21"/>
          <w:szCs w:val="21"/>
        </w:rPr>
        <w:t xml:space="preserve">Social Equity (SE), and the combination of EPI and SE. Each </w:t>
      </w:r>
      <w:r w:rsidR="0093368E">
        <w:rPr>
          <w:sz w:val="21"/>
          <w:szCs w:val="21"/>
        </w:rPr>
        <w:t xml:space="preserve">colored </w:t>
      </w:r>
      <w:r w:rsidRPr="00196A6C">
        <w:rPr>
          <w:sz w:val="21"/>
          <w:szCs w:val="21"/>
        </w:rPr>
        <w:t xml:space="preserve">line represents the regression model </w:t>
      </w:r>
      <w:r w:rsidR="0093368E">
        <w:rPr>
          <w:sz w:val="21"/>
          <w:szCs w:val="21"/>
        </w:rPr>
        <w:t xml:space="preserve">PPPs influence on </w:t>
      </w:r>
      <w:r w:rsidRPr="00196A6C">
        <w:rPr>
          <w:sz w:val="21"/>
          <w:szCs w:val="21"/>
        </w:rPr>
        <w:t>each index</w:t>
      </w:r>
      <w:r w:rsidR="0093368E">
        <w:rPr>
          <w:sz w:val="21"/>
          <w:szCs w:val="21"/>
        </w:rPr>
        <w:t xml:space="preserve"> (SE = Red, EPI = Blue, EPI + SE = Purple)</w:t>
      </w:r>
      <w:r w:rsidRPr="00196A6C">
        <w:rPr>
          <w:sz w:val="21"/>
          <w:szCs w:val="21"/>
        </w:rPr>
        <w:t>, with the</w:t>
      </w:r>
      <w:r w:rsidR="0093368E">
        <w:rPr>
          <w:sz w:val="21"/>
          <w:szCs w:val="21"/>
        </w:rPr>
        <w:t xml:space="preserve">ir corresponding </w:t>
      </w:r>
      <w:r w:rsidRPr="00196A6C">
        <w:rPr>
          <w:sz w:val="21"/>
          <w:szCs w:val="21"/>
        </w:rPr>
        <w:t xml:space="preserve">R-squared values </w:t>
      </w:r>
      <w:r w:rsidR="0093368E">
        <w:rPr>
          <w:sz w:val="21"/>
          <w:szCs w:val="21"/>
        </w:rPr>
        <w:t>in same color of text at the end of the line, indicating</w:t>
      </w:r>
      <w:r w:rsidRPr="00196A6C">
        <w:rPr>
          <w:sz w:val="21"/>
          <w:szCs w:val="21"/>
        </w:rPr>
        <w:t xml:space="preserve"> </w:t>
      </w:r>
      <w:r w:rsidR="0093368E">
        <w:rPr>
          <w:sz w:val="21"/>
          <w:szCs w:val="21"/>
        </w:rPr>
        <w:t xml:space="preserve">the </w:t>
      </w:r>
      <w:r w:rsidRPr="00196A6C">
        <w:rPr>
          <w:sz w:val="21"/>
          <w:szCs w:val="21"/>
        </w:rPr>
        <w:t>proportion of variance explained by PPP for each index</w:t>
      </w:r>
      <w:r w:rsidR="00415E59">
        <w:rPr>
          <w:sz w:val="21"/>
          <w:szCs w:val="21"/>
        </w:rPr>
        <w:t xml:space="preserve"> or their combination</w:t>
      </w:r>
      <w:r w:rsidRPr="00196A6C">
        <w:rPr>
          <w:sz w:val="21"/>
          <w:szCs w:val="21"/>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1764"/>
        <w:gridCol w:w="1764"/>
        <w:gridCol w:w="1764"/>
        <w:gridCol w:w="1764"/>
        <w:gridCol w:w="1027"/>
      </w:tblGrid>
      <w:tr w:rsidR="00640153" w:rsidRPr="00196A6C" w14:paraId="2B7940DD" w14:textId="77777777" w:rsidTr="00640153">
        <w:trPr>
          <w:trHeight w:val="320"/>
        </w:trPr>
        <w:tc>
          <w:tcPr>
            <w:tcW w:w="1306" w:type="dxa"/>
            <w:shd w:val="clear" w:color="auto" w:fill="auto"/>
            <w:noWrap/>
            <w:vAlign w:val="center"/>
            <w:hideMark/>
          </w:tcPr>
          <w:p w14:paraId="44801F7C" w14:textId="77777777" w:rsidR="00C820FF" w:rsidRPr="00C820FF" w:rsidRDefault="00C820FF" w:rsidP="00C820FF">
            <w:pPr>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Model</w:t>
            </w:r>
          </w:p>
        </w:tc>
        <w:tc>
          <w:tcPr>
            <w:tcW w:w="1820" w:type="dxa"/>
            <w:shd w:val="clear" w:color="auto" w:fill="auto"/>
            <w:noWrap/>
            <w:vAlign w:val="center"/>
            <w:hideMark/>
          </w:tcPr>
          <w:p w14:paraId="02449E69" w14:textId="4652A3CA" w:rsidR="00C820FF" w:rsidRPr="00C820FF" w:rsidRDefault="00C820FF" w:rsidP="00C820FF">
            <w:pPr>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Coefficient Estimate (</w:t>
            </w:r>
            <w:proofErr w:type="spellStart"/>
            <w:r w:rsidRPr="00C820FF">
              <w:rPr>
                <w:rFonts w:ascii="Times New Roman" w:eastAsia="Times New Roman" w:hAnsi="Times New Roman" w:cs="Times New Roman"/>
                <w:kern w:val="0"/>
                <w:sz w:val="20"/>
                <w:szCs w:val="20"/>
                <w14:ligatures w14:val="none"/>
              </w:rPr>
              <w:t>GDP.per.capita.PPP</w:t>
            </w:r>
            <w:proofErr w:type="spellEnd"/>
            <w:r w:rsidRPr="00C820FF">
              <w:rPr>
                <w:rFonts w:ascii="Times New Roman" w:eastAsia="Times New Roman" w:hAnsi="Times New Roman" w:cs="Times New Roman"/>
                <w:kern w:val="0"/>
                <w:sz w:val="20"/>
                <w:szCs w:val="20"/>
                <w14:ligatures w14:val="none"/>
              </w:rPr>
              <w:t>)</w:t>
            </w:r>
          </w:p>
        </w:tc>
        <w:tc>
          <w:tcPr>
            <w:tcW w:w="1866" w:type="dxa"/>
            <w:shd w:val="clear" w:color="auto" w:fill="auto"/>
            <w:noWrap/>
            <w:vAlign w:val="center"/>
            <w:hideMark/>
          </w:tcPr>
          <w:p w14:paraId="1D7DC4C4" w14:textId="77777777" w:rsidR="00C820FF" w:rsidRPr="00C820FF" w:rsidRDefault="00C820FF" w:rsidP="00C820FF">
            <w:pPr>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 xml:space="preserve"> Std. Error (</w:t>
            </w:r>
            <w:proofErr w:type="spellStart"/>
            <w:r w:rsidRPr="00C820FF">
              <w:rPr>
                <w:rFonts w:ascii="Times New Roman" w:eastAsia="Times New Roman" w:hAnsi="Times New Roman" w:cs="Times New Roman"/>
                <w:kern w:val="0"/>
                <w:sz w:val="20"/>
                <w:szCs w:val="20"/>
                <w14:ligatures w14:val="none"/>
              </w:rPr>
              <w:t>GDP.per.capita.PPP</w:t>
            </w:r>
            <w:proofErr w:type="spellEnd"/>
            <w:r w:rsidRPr="00C820FF">
              <w:rPr>
                <w:rFonts w:ascii="Times New Roman" w:eastAsia="Times New Roman" w:hAnsi="Times New Roman" w:cs="Times New Roman"/>
                <w:kern w:val="0"/>
                <w:sz w:val="20"/>
                <w:szCs w:val="20"/>
                <w14:ligatures w14:val="none"/>
              </w:rPr>
              <w:t>)</w:t>
            </w:r>
          </w:p>
        </w:tc>
        <w:tc>
          <w:tcPr>
            <w:tcW w:w="1819" w:type="dxa"/>
            <w:shd w:val="clear" w:color="auto" w:fill="auto"/>
            <w:noWrap/>
            <w:vAlign w:val="center"/>
            <w:hideMark/>
          </w:tcPr>
          <w:p w14:paraId="7CF24388" w14:textId="77777777" w:rsidR="00C820FF" w:rsidRPr="00C820FF" w:rsidRDefault="00C820FF" w:rsidP="00C820FF">
            <w:pPr>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 xml:space="preserve"> t-value (</w:t>
            </w:r>
            <w:proofErr w:type="spellStart"/>
            <w:r w:rsidRPr="00C820FF">
              <w:rPr>
                <w:rFonts w:ascii="Times New Roman" w:eastAsia="Times New Roman" w:hAnsi="Times New Roman" w:cs="Times New Roman"/>
                <w:kern w:val="0"/>
                <w:sz w:val="20"/>
                <w:szCs w:val="20"/>
                <w14:ligatures w14:val="none"/>
              </w:rPr>
              <w:t>GDP.per.capita.PPP</w:t>
            </w:r>
            <w:proofErr w:type="spellEnd"/>
            <w:r w:rsidRPr="00C820FF">
              <w:rPr>
                <w:rFonts w:ascii="Times New Roman" w:eastAsia="Times New Roman" w:hAnsi="Times New Roman" w:cs="Times New Roman"/>
                <w:kern w:val="0"/>
                <w:sz w:val="20"/>
                <w:szCs w:val="20"/>
                <w14:ligatures w14:val="none"/>
              </w:rPr>
              <w:t>)</w:t>
            </w:r>
          </w:p>
        </w:tc>
        <w:tc>
          <w:tcPr>
            <w:tcW w:w="1406" w:type="dxa"/>
            <w:shd w:val="clear" w:color="auto" w:fill="auto"/>
            <w:noWrap/>
            <w:vAlign w:val="center"/>
            <w:hideMark/>
          </w:tcPr>
          <w:p w14:paraId="7515AF51" w14:textId="77777777" w:rsidR="00C820FF" w:rsidRPr="00C820FF" w:rsidRDefault="00C820FF" w:rsidP="00C820FF">
            <w:pPr>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 xml:space="preserve"> p-value (</w:t>
            </w:r>
            <w:proofErr w:type="spellStart"/>
            <w:r w:rsidRPr="00C820FF">
              <w:rPr>
                <w:rFonts w:ascii="Times New Roman" w:eastAsia="Times New Roman" w:hAnsi="Times New Roman" w:cs="Times New Roman"/>
                <w:kern w:val="0"/>
                <w:sz w:val="20"/>
                <w:szCs w:val="20"/>
                <w14:ligatures w14:val="none"/>
              </w:rPr>
              <w:t>GDP.per.capita.PPP</w:t>
            </w:r>
            <w:proofErr w:type="spellEnd"/>
            <w:r w:rsidRPr="00C820FF">
              <w:rPr>
                <w:rFonts w:ascii="Times New Roman" w:eastAsia="Times New Roman" w:hAnsi="Times New Roman" w:cs="Times New Roman"/>
                <w:kern w:val="0"/>
                <w:sz w:val="20"/>
                <w:szCs w:val="20"/>
                <w14:ligatures w14:val="none"/>
              </w:rPr>
              <w:t>)</w:t>
            </w:r>
          </w:p>
        </w:tc>
        <w:tc>
          <w:tcPr>
            <w:tcW w:w="1133" w:type="dxa"/>
            <w:shd w:val="clear" w:color="auto" w:fill="auto"/>
            <w:noWrap/>
            <w:vAlign w:val="center"/>
            <w:hideMark/>
          </w:tcPr>
          <w:p w14:paraId="5BF39A74" w14:textId="77777777" w:rsidR="00C820FF" w:rsidRPr="00C820FF" w:rsidRDefault="00C820FF" w:rsidP="00C820FF">
            <w:pPr>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 xml:space="preserve"> R^2</w:t>
            </w:r>
          </w:p>
        </w:tc>
      </w:tr>
      <w:tr w:rsidR="00640153" w:rsidRPr="00196A6C" w14:paraId="63FFA09E" w14:textId="77777777" w:rsidTr="00640153">
        <w:trPr>
          <w:trHeight w:val="320"/>
        </w:trPr>
        <w:tc>
          <w:tcPr>
            <w:tcW w:w="1306" w:type="dxa"/>
            <w:shd w:val="clear" w:color="auto" w:fill="auto"/>
            <w:noWrap/>
            <w:vAlign w:val="center"/>
            <w:hideMark/>
          </w:tcPr>
          <w:p w14:paraId="65BA2743" w14:textId="77777777" w:rsidR="00C820FF" w:rsidRPr="00C820FF" w:rsidRDefault="00C820FF" w:rsidP="00C820FF">
            <w:pPr>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Environmental Performance Index</w:t>
            </w:r>
          </w:p>
        </w:tc>
        <w:tc>
          <w:tcPr>
            <w:tcW w:w="1820" w:type="dxa"/>
            <w:shd w:val="clear" w:color="auto" w:fill="auto"/>
            <w:noWrap/>
            <w:vAlign w:val="center"/>
            <w:hideMark/>
          </w:tcPr>
          <w:p w14:paraId="31813265"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2.49E-04</w:t>
            </w:r>
          </w:p>
        </w:tc>
        <w:tc>
          <w:tcPr>
            <w:tcW w:w="1866" w:type="dxa"/>
            <w:shd w:val="clear" w:color="auto" w:fill="auto"/>
            <w:noWrap/>
            <w:vAlign w:val="center"/>
            <w:hideMark/>
          </w:tcPr>
          <w:p w14:paraId="44772C9A"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1.23E-04</w:t>
            </w:r>
          </w:p>
        </w:tc>
        <w:tc>
          <w:tcPr>
            <w:tcW w:w="1819" w:type="dxa"/>
            <w:shd w:val="clear" w:color="auto" w:fill="auto"/>
            <w:noWrap/>
            <w:vAlign w:val="center"/>
            <w:hideMark/>
          </w:tcPr>
          <w:p w14:paraId="2AF6D69B"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2.02</w:t>
            </w:r>
          </w:p>
        </w:tc>
        <w:tc>
          <w:tcPr>
            <w:tcW w:w="1406" w:type="dxa"/>
            <w:shd w:val="clear" w:color="auto" w:fill="auto"/>
            <w:noWrap/>
            <w:vAlign w:val="center"/>
            <w:hideMark/>
          </w:tcPr>
          <w:p w14:paraId="5A93B6CC"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0.053</w:t>
            </w:r>
          </w:p>
        </w:tc>
        <w:tc>
          <w:tcPr>
            <w:tcW w:w="1133" w:type="dxa"/>
            <w:shd w:val="clear" w:color="auto" w:fill="auto"/>
            <w:noWrap/>
            <w:vAlign w:val="center"/>
            <w:hideMark/>
          </w:tcPr>
          <w:p w14:paraId="6FD89CAE"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0.1272</w:t>
            </w:r>
          </w:p>
        </w:tc>
      </w:tr>
      <w:tr w:rsidR="00640153" w:rsidRPr="00196A6C" w14:paraId="460A75EC" w14:textId="77777777" w:rsidTr="00640153">
        <w:trPr>
          <w:trHeight w:val="320"/>
        </w:trPr>
        <w:tc>
          <w:tcPr>
            <w:tcW w:w="1306" w:type="dxa"/>
            <w:shd w:val="clear" w:color="auto" w:fill="auto"/>
            <w:noWrap/>
            <w:vAlign w:val="center"/>
            <w:hideMark/>
          </w:tcPr>
          <w:p w14:paraId="60C1AC55" w14:textId="77777777" w:rsidR="00C820FF" w:rsidRPr="00C820FF" w:rsidRDefault="00C820FF" w:rsidP="00C820FF">
            <w:pPr>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Social Equity</w:t>
            </w:r>
          </w:p>
        </w:tc>
        <w:tc>
          <w:tcPr>
            <w:tcW w:w="1820" w:type="dxa"/>
            <w:shd w:val="clear" w:color="auto" w:fill="auto"/>
            <w:noWrap/>
            <w:vAlign w:val="center"/>
            <w:hideMark/>
          </w:tcPr>
          <w:p w14:paraId="00FD180B"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6.98E-04</w:t>
            </w:r>
          </w:p>
        </w:tc>
        <w:tc>
          <w:tcPr>
            <w:tcW w:w="1866" w:type="dxa"/>
            <w:shd w:val="clear" w:color="auto" w:fill="auto"/>
            <w:noWrap/>
            <w:vAlign w:val="center"/>
            <w:hideMark/>
          </w:tcPr>
          <w:p w14:paraId="08900556"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2.06E-04</w:t>
            </w:r>
          </w:p>
        </w:tc>
        <w:tc>
          <w:tcPr>
            <w:tcW w:w="1819" w:type="dxa"/>
            <w:shd w:val="clear" w:color="auto" w:fill="auto"/>
            <w:noWrap/>
            <w:vAlign w:val="center"/>
            <w:hideMark/>
          </w:tcPr>
          <w:p w14:paraId="18297595"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3.389</w:t>
            </w:r>
          </w:p>
        </w:tc>
        <w:tc>
          <w:tcPr>
            <w:tcW w:w="1406" w:type="dxa"/>
            <w:shd w:val="clear" w:color="auto" w:fill="auto"/>
            <w:noWrap/>
            <w:vAlign w:val="center"/>
            <w:hideMark/>
          </w:tcPr>
          <w:p w14:paraId="0990A318"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0.0021</w:t>
            </w:r>
          </w:p>
        </w:tc>
        <w:tc>
          <w:tcPr>
            <w:tcW w:w="1133" w:type="dxa"/>
            <w:shd w:val="clear" w:color="auto" w:fill="auto"/>
            <w:noWrap/>
            <w:vAlign w:val="center"/>
            <w:hideMark/>
          </w:tcPr>
          <w:p w14:paraId="0CCD9644"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0.2909</w:t>
            </w:r>
          </w:p>
        </w:tc>
      </w:tr>
      <w:tr w:rsidR="00640153" w:rsidRPr="00196A6C" w14:paraId="68EC0BDE" w14:textId="77777777" w:rsidTr="00640153">
        <w:trPr>
          <w:trHeight w:val="320"/>
        </w:trPr>
        <w:tc>
          <w:tcPr>
            <w:tcW w:w="1306" w:type="dxa"/>
            <w:shd w:val="clear" w:color="auto" w:fill="auto"/>
            <w:noWrap/>
            <w:vAlign w:val="center"/>
            <w:hideMark/>
          </w:tcPr>
          <w:p w14:paraId="1A5ABE4F" w14:textId="77777777" w:rsidR="00C820FF" w:rsidRPr="00C820FF" w:rsidRDefault="00C820FF" w:rsidP="00C820FF">
            <w:pPr>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lastRenderedPageBreak/>
              <w:t>Environmental Performance Index + Social Equity</w:t>
            </w:r>
          </w:p>
        </w:tc>
        <w:tc>
          <w:tcPr>
            <w:tcW w:w="1820" w:type="dxa"/>
            <w:shd w:val="clear" w:color="auto" w:fill="auto"/>
            <w:noWrap/>
            <w:vAlign w:val="center"/>
            <w:hideMark/>
          </w:tcPr>
          <w:p w14:paraId="26439738"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9.47E-04</w:t>
            </w:r>
          </w:p>
        </w:tc>
        <w:tc>
          <w:tcPr>
            <w:tcW w:w="1866" w:type="dxa"/>
            <w:shd w:val="clear" w:color="auto" w:fill="auto"/>
            <w:noWrap/>
            <w:vAlign w:val="center"/>
            <w:hideMark/>
          </w:tcPr>
          <w:p w14:paraId="0A0D13DE"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2.89E-04</w:t>
            </w:r>
          </w:p>
        </w:tc>
        <w:tc>
          <w:tcPr>
            <w:tcW w:w="1819" w:type="dxa"/>
            <w:shd w:val="clear" w:color="auto" w:fill="auto"/>
            <w:noWrap/>
            <w:vAlign w:val="center"/>
            <w:hideMark/>
          </w:tcPr>
          <w:p w14:paraId="32BFDAEE"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3.277</w:t>
            </w:r>
          </w:p>
        </w:tc>
        <w:tc>
          <w:tcPr>
            <w:tcW w:w="1406" w:type="dxa"/>
            <w:shd w:val="clear" w:color="auto" w:fill="auto"/>
            <w:noWrap/>
            <w:vAlign w:val="center"/>
            <w:hideMark/>
          </w:tcPr>
          <w:p w14:paraId="053EA78B"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0.0028</w:t>
            </w:r>
          </w:p>
        </w:tc>
        <w:tc>
          <w:tcPr>
            <w:tcW w:w="1133" w:type="dxa"/>
            <w:shd w:val="clear" w:color="auto" w:fill="auto"/>
            <w:noWrap/>
            <w:vAlign w:val="center"/>
            <w:hideMark/>
          </w:tcPr>
          <w:p w14:paraId="4FAE331F" w14:textId="77777777" w:rsidR="00C820FF" w:rsidRPr="00C820FF" w:rsidRDefault="00C820FF" w:rsidP="00C820FF">
            <w:pPr>
              <w:jc w:val="right"/>
              <w:rPr>
                <w:rFonts w:ascii="Times New Roman" w:eastAsia="Times New Roman" w:hAnsi="Times New Roman" w:cs="Times New Roman"/>
                <w:kern w:val="0"/>
                <w:sz w:val="20"/>
                <w:szCs w:val="20"/>
                <w14:ligatures w14:val="none"/>
              </w:rPr>
            </w:pPr>
            <w:r w:rsidRPr="00C820FF">
              <w:rPr>
                <w:rFonts w:ascii="Times New Roman" w:eastAsia="Times New Roman" w:hAnsi="Times New Roman" w:cs="Times New Roman"/>
                <w:kern w:val="0"/>
                <w:sz w:val="20"/>
                <w:szCs w:val="20"/>
                <w14:ligatures w14:val="none"/>
              </w:rPr>
              <w:t>0.2772</w:t>
            </w:r>
          </w:p>
        </w:tc>
      </w:tr>
    </w:tbl>
    <w:p w14:paraId="536A014A" w14:textId="5D2D0B38" w:rsidR="00C820FF" w:rsidRPr="00196A6C" w:rsidRDefault="00196A6C" w:rsidP="00196A6C">
      <w:pPr>
        <w:pStyle w:val="NormalWeb"/>
        <w:shd w:val="clear" w:color="auto" w:fill="FFFFFF"/>
        <w:spacing w:before="180" w:beforeAutospacing="0" w:after="180" w:afterAutospacing="0"/>
        <w:rPr>
          <w:sz w:val="21"/>
          <w:szCs w:val="21"/>
        </w:rPr>
      </w:pPr>
      <w:r w:rsidRPr="00196A6C">
        <w:rPr>
          <w:b/>
          <w:bCs/>
          <w:sz w:val="21"/>
          <w:szCs w:val="21"/>
        </w:rPr>
        <w:t>Table 1</w:t>
      </w:r>
      <w:r w:rsidRPr="00196A6C">
        <w:rPr>
          <w:sz w:val="21"/>
          <w:szCs w:val="21"/>
        </w:rPr>
        <w:t xml:space="preserve">: </w:t>
      </w:r>
      <w:r w:rsidR="0093368E">
        <w:rPr>
          <w:sz w:val="21"/>
          <w:szCs w:val="21"/>
        </w:rPr>
        <w:t xml:space="preserve">Summary table </w:t>
      </w:r>
      <w:r w:rsidR="00402DCB">
        <w:rPr>
          <w:sz w:val="21"/>
          <w:szCs w:val="21"/>
        </w:rPr>
        <w:t>of</w:t>
      </w:r>
      <w:r w:rsidR="00402DCB" w:rsidRPr="00196A6C">
        <w:rPr>
          <w:sz w:val="21"/>
          <w:szCs w:val="21"/>
        </w:rPr>
        <w:t xml:space="preserve"> </w:t>
      </w:r>
      <w:r w:rsidR="00402DCB">
        <w:rPr>
          <w:sz w:val="21"/>
          <w:szCs w:val="21"/>
        </w:rPr>
        <w:t xml:space="preserve">the linear models </w:t>
      </w:r>
      <w:r w:rsidR="00502023">
        <w:rPr>
          <w:sz w:val="21"/>
          <w:szCs w:val="21"/>
        </w:rPr>
        <w:t xml:space="preserve">(Figure 1) </w:t>
      </w:r>
      <w:r w:rsidR="00402DCB">
        <w:rPr>
          <w:sz w:val="21"/>
          <w:szCs w:val="21"/>
        </w:rPr>
        <w:t xml:space="preserve">describing </w:t>
      </w:r>
      <w:r w:rsidRPr="00196A6C">
        <w:rPr>
          <w:sz w:val="21"/>
          <w:szCs w:val="21"/>
        </w:rPr>
        <w:t xml:space="preserve">GDP per </w:t>
      </w:r>
      <w:r w:rsidR="00CE35E0">
        <w:rPr>
          <w:sz w:val="21"/>
          <w:szCs w:val="21"/>
        </w:rPr>
        <w:t>c</w:t>
      </w:r>
      <w:r w:rsidRPr="00196A6C">
        <w:rPr>
          <w:sz w:val="21"/>
          <w:szCs w:val="21"/>
        </w:rPr>
        <w:t>apita</w:t>
      </w:r>
      <w:r w:rsidR="0093368E">
        <w:rPr>
          <w:sz w:val="21"/>
          <w:szCs w:val="21"/>
        </w:rPr>
        <w:t>’s</w:t>
      </w:r>
      <w:r w:rsidRPr="00196A6C">
        <w:rPr>
          <w:sz w:val="21"/>
          <w:szCs w:val="21"/>
        </w:rPr>
        <w:t xml:space="preserve"> </w:t>
      </w:r>
      <w:r w:rsidR="0093368E">
        <w:rPr>
          <w:sz w:val="21"/>
          <w:szCs w:val="21"/>
        </w:rPr>
        <w:t>(</w:t>
      </w:r>
      <w:r w:rsidRPr="00196A6C">
        <w:rPr>
          <w:sz w:val="21"/>
          <w:szCs w:val="21"/>
        </w:rPr>
        <w:t>PPP</w:t>
      </w:r>
      <w:r w:rsidR="0093368E">
        <w:rPr>
          <w:sz w:val="21"/>
          <w:szCs w:val="21"/>
        </w:rPr>
        <w:t>)</w:t>
      </w:r>
      <w:r w:rsidRPr="00196A6C">
        <w:rPr>
          <w:sz w:val="21"/>
          <w:szCs w:val="21"/>
        </w:rPr>
        <w:t xml:space="preserve"> </w:t>
      </w:r>
      <w:r w:rsidR="0093368E">
        <w:rPr>
          <w:sz w:val="21"/>
          <w:szCs w:val="21"/>
        </w:rPr>
        <w:t>influence</w:t>
      </w:r>
      <w:r w:rsidRPr="00196A6C">
        <w:rPr>
          <w:sz w:val="21"/>
          <w:szCs w:val="21"/>
        </w:rPr>
        <w:t xml:space="preserve"> on Environmental Performance Index</w:t>
      </w:r>
      <w:r w:rsidR="0093368E">
        <w:rPr>
          <w:sz w:val="21"/>
          <w:szCs w:val="21"/>
        </w:rPr>
        <w:t xml:space="preserve"> (EPI)</w:t>
      </w:r>
      <w:r w:rsidRPr="00196A6C">
        <w:rPr>
          <w:sz w:val="21"/>
          <w:szCs w:val="21"/>
        </w:rPr>
        <w:t>, Social Equity</w:t>
      </w:r>
      <w:r w:rsidR="0093368E">
        <w:rPr>
          <w:sz w:val="21"/>
          <w:szCs w:val="21"/>
        </w:rPr>
        <w:t xml:space="preserve"> (SE)</w:t>
      </w:r>
      <w:r w:rsidRPr="00196A6C">
        <w:rPr>
          <w:sz w:val="21"/>
          <w:szCs w:val="21"/>
        </w:rPr>
        <w:t xml:space="preserve">, and </w:t>
      </w:r>
      <w:r w:rsidR="0093368E">
        <w:rPr>
          <w:sz w:val="21"/>
          <w:szCs w:val="21"/>
        </w:rPr>
        <w:t>the</w:t>
      </w:r>
      <w:r w:rsidR="00402DCB">
        <w:rPr>
          <w:sz w:val="21"/>
          <w:szCs w:val="21"/>
        </w:rPr>
        <w:t>ir combination</w:t>
      </w:r>
      <w:r w:rsidR="0093368E">
        <w:rPr>
          <w:sz w:val="21"/>
          <w:szCs w:val="21"/>
        </w:rPr>
        <w:t xml:space="preserve"> (EPI + SE)</w:t>
      </w:r>
      <w:r w:rsidRPr="00196A6C">
        <w:rPr>
          <w:sz w:val="21"/>
          <w:szCs w:val="21"/>
        </w:rPr>
        <w:t>.</w:t>
      </w:r>
      <w:r w:rsidR="006813B6">
        <w:rPr>
          <w:sz w:val="21"/>
          <w:szCs w:val="21"/>
        </w:rPr>
        <w:t xml:space="preserve"> Each column </w:t>
      </w:r>
      <w:r w:rsidR="00402DCB">
        <w:rPr>
          <w:sz w:val="21"/>
          <w:szCs w:val="21"/>
        </w:rPr>
        <w:t>shows</w:t>
      </w:r>
      <w:r w:rsidR="006813B6">
        <w:rPr>
          <w:sz w:val="21"/>
          <w:szCs w:val="21"/>
        </w:rPr>
        <w:t xml:space="preserve"> the </w:t>
      </w:r>
      <w:r w:rsidRPr="00196A6C">
        <w:rPr>
          <w:sz w:val="21"/>
          <w:szCs w:val="21"/>
        </w:rPr>
        <w:t xml:space="preserve">coefficient estimate, standard error, t-value, and p-value for PPP across </w:t>
      </w:r>
      <w:r w:rsidR="006813B6">
        <w:rPr>
          <w:sz w:val="21"/>
          <w:szCs w:val="21"/>
        </w:rPr>
        <w:t xml:space="preserve">the </w:t>
      </w:r>
      <w:r w:rsidRPr="00196A6C">
        <w:rPr>
          <w:sz w:val="21"/>
          <w:szCs w:val="21"/>
        </w:rPr>
        <w:t>three separate linear models</w:t>
      </w:r>
      <w:r w:rsidR="006813B6">
        <w:rPr>
          <w:sz w:val="21"/>
          <w:szCs w:val="21"/>
        </w:rPr>
        <w:t xml:space="preserve"> for each index and their combination. The final column indicates </w:t>
      </w:r>
      <w:r w:rsidRPr="00196A6C">
        <w:rPr>
          <w:sz w:val="21"/>
          <w:szCs w:val="21"/>
        </w:rPr>
        <w:t>the R-squared values</w:t>
      </w:r>
      <w:r w:rsidR="006813B6">
        <w:rPr>
          <w:sz w:val="21"/>
          <w:szCs w:val="21"/>
        </w:rPr>
        <w:t xml:space="preserve"> for each model, which describes </w:t>
      </w:r>
      <w:r w:rsidRPr="00196A6C">
        <w:rPr>
          <w:sz w:val="21"/>
          <w:szCs w:val="21"/>
        </w:rPr>
        <w:t>the variance in dependent</w:t>
      </w:r>
      <w:r w:rsidR="00415E59">
        <w:rPr>
          <w:sz w:val="21"/>
          <w:szCs w:val="21"/>
        </w:rPr>
        <w:t>(s)</w:t>
      </w:r>
      <w:r w:rsidRPr="00196A6C">
        <w:rPr>
          <w:sz w:val="21"/>
          <w:szCs w:val="21"/>
        </w:rPr>
        <w:t xml:space="preserve"> variable explained by PPP.</w:t>
      </w:r>
    </w:p>
    <w:p w14:paraId="1ED2F124" w14:textId="200F00C4" w:rsidR="00915424" w:rsidRDefault="0072709C" w:rsidP="0072709C">
      <w:pPr>
        <w:pStyle w:val="NormalWeb"/>
        <w:shd w:val="clear" w:color="auto" w:fill="FFFFFF"/>
        <w:spacing w:before="180" w:beforeAutospacing="0" w:after="180" w:afterAutospacing="0"/>
      </w:pPr>
      <w:r w:rsidRPr="00196A6C">
        <w:t xml:space="preserve">The regression summaries </w:t>
      </w:r>
      <w:r w:rsidR="00915424">
        <w:t xml:space="preserve">in Figure 1 and Table 1 </w:t>
      </w:r>
      <w:r w:rsidR="001C6B17" w:rsidRPr="00196A6C">
        <w:t>show a weak but positive</w:t>
      </w:r>
      <w:r w:rsidRPr="00196A6C">
        <w:t xml:space="preserve"> relationship between</w:t>
      </w:r>
      <w:r w:rsidR="00915424">
        <w:t xml:space="preserve"> </w:t>
      </w:r>
      <w:proofErr w:type="gramStart"/>
      <w:r w:rsidR="00915424">
        <w:t>GDP</w:t>
      </w:r>
      <w:proofErr w:type="gramEnd"/>
      <w:r w:rsidR="00915424">
        <w:t xml:space="preserve"> per capita (PPP) and</w:t>
      </w:r>
      <w:r w:rsidRPr="00196A6C">
        <w:t xml:space="preserve"> Environmental Performance Index (EPI), Social Equity (SE), and their combination (EPI + SE)</w:t>
      </w:r>
      <w:r w:rsidR="009C6C03">
        <w:t xml:space="preserve">, with </w:t>
      </w:r>
      <w:r w:rsidR="00AB07AE">
        <w:t>varying levels of</w:t>
      </w:r>
      <w:r w:rsidR="009C6C03">
        <w:t xml:space="preserve"> certainty</w:t>
      </w:r>
      <w:r w:rsidRPr="00196A6C">
        <w:t xml:space="preserve">. </w:t>
      </w:r>
      <w:r w:rsidR="00915424">
        <w:t>Only ~</w:t>
      </w:r>
      <w:r w:rsidRPr="00196A6C">
        <w:t xml:space="preserve">12.72% of the </w:t>
      </w:r>
      <w:r w:rsidR="007316C1">
        <w:t>variation</w:t>
      </w:r>
      <w:r w:rsidRPr="00196A6C">
        <w:t xml:space="preserve"> in EPI can be explained by </w:t>
      </w:r>
      <w:r w:rsidR="009C6C03">
        <w:t>PPP</w:t>
      </w:r>
      <w:r w:rsidR="00915424">
        <w:t xml:space="preserve">, with a </w:t>
      </w:r>
      <w:r w:rsidR="009C6C03">
        <w:t>near threshold</w:t>
      </w:r>
      <w:r w:rsidR="00915424">
        <w:t xml:space="preserve"> p-value of 0.053</w:t>
      </w:r>
      <w:r w:rsidRPr="00196A6C">
        <w:t xml:space="preserve">. </w:t>
      </w:r>
      <w:r w:rsidR="009C6C03">
        <w:t>Comparatively</w:t>
      </w:r>
      <w:r w:rsidR="00915424">
        <w:t>, SE ha</w:t>
      </w:r>
      <w:r w:rsidR="00AB07AE">
        <w:t>d</w:t>
      </w:r>
      <w:r w:rsidR="00915424">
        <w:t xml:space="preserve"> a stronger</w:t>
      </w:r>
      <w:r w:rsidRPr="00196A6C">
        <w:t xml:space="preserve"> relationship with </w:t>
      </w:r>
      <w:r w:rsidR="009C6C03">
        <w:t>PPP</w:t>
      </w:r>
      <w:r w:rsidRPr="00196A6C">
        <w:t>,</w:t>
      </w:r>
      <w:r w:rsidR="009C6C03">
        <w:t xml:space="preserve"> with</w:t>
      </w:r>
      <w:r w:rsidRPr="00196A6C">
        <w:t xml:space="preserve"> 29.09% of the variation in </w:t>
      </w:r>
      <w:r w:rsidR="00915424">
        <w:t>SE</w:t>
      </w:r>
      <w:r w:rsidRPr="00196A6C">
        <w:t xml:space="preserve"> is explained by </w:t>
      </w:r>
      <w:r w:rsidR="009C6C03">
        <w:t>PPP</w:t>
      </w:r>
      <w:r w:rsidRPr="00196A6C">
        <w:t>, and highly significant</w:t>
      </w:r>
      <w:r w:rsidR="009C6C03">
        <w:t xml:space="preserve"> p-value of 0.0021</w:t>
      </w:r>
      <w:r w:rsidRPr="00196A6C">
        <w:t xml:space="preserve">. </w:t>
      </w:r>
      <w:r w:rsidR="009C6C03">
        <w:t>Finally, when EPI and SE are combined as dependant variables,</w:t>
      </w:r>
      <w:r w:rsidRPr="00196A6C">
        <w:t xml:space="preserve"> </w:t>
      </w:r>
      <w:r w:rsidR="009C6C03">
        <w:t xml:space="preserve">PPP explains </w:t>
      </w:r>
      <w:r w:rsidRPr="00196A6C">
        <w:t xml:space="preserve">27.72% </w:t>
      </w:r>
      <w:r w:rsidR="009C6C03">
        <w:t>of the variance and has a</w:t>
      </w:r>
      <w:r w:rsidRPr="00196A6C">
        <w:t xml:space="preserve"> significant </w:t>
      </w:r>
      <w:r w:rsidR="009C6C03">
        <w:t>p-value of</w:t>
      </w:r>
      <w:r w:rsidRPr="00196A6C">
        <w:t xml:space="preserve"> 0.0028</w:t>
      </w:r>
      <w:r w:rsidR="009C6C03">
        <w:t>.</w:t>
      </w:r>
      <w:r w:rsidRPr="00196A6C">
        <w:t xml:space="preserve"> </w:t>
      </w:r>
    </w:p>
    <w:p w14:paraId="49686794" w14:textId="1FE2DC46" w:rsidR="0072709C" w:rsidRDefault="0072709C" w:rsidP="00E02A63">
      <w:pPr>
        <w:pStyle w:val="NormalWeb"/>
        <w:shd w:val="clear" w:color="auto" w:fill="FFFFFF"/>
        <w:spacing w:before="180" w:beforeAutospacing="0" w:after="180" w:afterAutospacing="0"/>
      </w:pPr>
      <w:r w:rsidRPr="00196A6C">
        <w:t>The</w:t>
      </w:r>
      <w:r w:rsidR="00AB07AE">
        <w:t xml:space="preserve"> unanimous </w:t>
      </w:r>
      <w:r w:rsidR="00F563D6">
        <w:t xml:space="preserve">weak yet </w:t>
      </w:r>
      <w:r w:rsidR="00AB07AE">
        <w:t>positive correlations</w:t>
      </w:r>
      <w:r w:rsidRPr="00196A6C">
        <w:t xml:space="preserve"> </w:t>
      </w:r>
      <w:r w:rsidR="00AB07AE">
        <w:t>between increasing PPP and each respective index (EPI, SE, and EPI + SE) suggests that countries with a higher PPP tend to have better SE and EPI.</w:t>
      </w:r>
      <w:r w:rsidR="00F563D6">
        <w:t xml:space="preserve"> These positive relationships could be due to the more resources that are available for environmental protection and social programing in wealthier countries. For example, </w:t>
      </w:r>
      <w:r w:rsidR="00490519">
        <w:t xml:space="preserve">the </w:t>
      </w:r>
      <w:r w:rsidR="00490519" w:rsidRPr="00490519">
        <w:t>Kuznets Curve (EKC) hypothesis</w:t>
      </w:r>
      <w:r w:rsidR="00490519">
        <w:t xml:space="preserve"> is a longstanding theory </w:t>
      </w:r>
      <w:r w:rsidR="00490519" w:rsidRPr="00490519">
        <w:t xml:space="preserve">that environmental conditions </w:t>
      </w:r>
      <w:r w:rsidR="00225B28">
        <w:t>get worse</w:t>
      </w:r>
      <w:r w:rsidR="00490519" w:rsidRPr="00490519">
        <w:t xml:space="preserve"> and then improve as economic</w:t>
      </w:r>
      <w:r w:rsidR="00225B28">
        <w:t xml:space="preserve"> </w:t>
      </w:r>
      <w:r w:rsidR="00490519" w:rsidRPr="00490519">
        <w:t>growth</w:t>
      </w:r>
      <w:r w:rsidR="00225B28">
        <w:t xml:space="preserve"> </w:t>
      </w:r>
      <w:r w:rsidR="00490519" w:rsidRPr="00490519">
        <w:t>increases</w:t>
      </w:r>
      <w:r w:rsidR="00225B28">
        <w:t xml:space="preserve">. Many factors are suggested to contribute to this relationship, and many are controversial, such as the increase in technological innovation as a </w:t>
      </w:r>
      <w:r w:rsidR="00E02A63">
        <w:t>by-product</w:t>
      </w:r>
      <w:r w:rsidR="00225B28">
        <w:t xml:space="preserve"> of economic growth</w:t>
      </w:r>
      <w:r w:rsidR="00836D02">
        <w:t>, which</w:t>
      </w:r>
      <w:r w:rsidR="00225B28">
        <w:t xml:space="preserve"> </w:t>
      </w:r>
      <w:r w:rsidR="00836D02">
        <w:t>some propose contribute</w:t>
      </w:r>
      <w:r w:rsidR="00225B28">
        <w:t xml:space="preserve"> to CO2 emission reductions </w:t>
      </w:r>
      <w:r w:rsidR="00E02A63">
        <w:t>whereas</w:t>
      </w:r>
      <w:r w:rsidR="00836D02">
        <w:t xml:space="preserve"> others suggest they don’t</w:t>
      </w:r>
      <w:r w:rsidR="00E02A63">
        <w:t xml:space="preserve"> </w:t>
      </w:r>
      <w:r w:rsidR="00E02A63">
        <w:fldChar w:fldCharType="begin"/>
      </w:r>
      <w:r w:rsidR="00E02A63">
        <w:instrText xml:space="preserve"> ADDIN ZOTERO_ITEM CSL_CITATION {"citationID":"K8lx9cpf","properties":{"formattedCitation":"(Chen &amp; Lee, 2020)","plainCitation":"(Chen &amp; Lee, 2020)","noteIndex":0},"citationItems":[{"id":1573,"uris":["http://zotero.org/users/7094349/items/QXF8YEU9"],"itemData":{"id":1573,"type":"article-journal","abstract":"Based on the data of BP Statistical Review of World Energy, KOF Globalization Index, and the World Development Indicators, this paper explores the impact of technological innovation on CO2 emissions in a panel of 96 countries over the period 1996e2018 with spatial econometric models. First, both CO2 emissions and R&amp;D intensity show signiﬁcant spatial correlation across countries, and thus spatial econometric models are more suitable for research. Second, technological innovation has no signiﬁcant mitigation effect on CO2 emissions globally. However, group-based studies show that technological innovation in high-income, high-technology, and high-CO2 emission countries can signiﬁcantly reduce CO2 emissions in neighboring countries, while R&amp;D intensity in other countries even increase CO2 emissions. Third, the higher the level of globalization is in a country, the more obvious the effect technological innovation has on reducing CO2 emissions. Among them, the moderating effect of political globalization is the most obvious and even low-income, low-technology, and low-CO2 emission countries can beneﬁt from it; the “pollution haven” in economic globalization and the guidance of environmental protection awareness in social globalization deserve more attention. Therefore, countries should pay attention to the spillover effects of technological innovation, improve the corresponding level of globalization according to their own characteristics, and ultimately enhance environmental quality through international cooperation.","container-title":"Journal of Cleaner Production","DOI":"10.1016/j.jclepro.2020.121550","ISSN":"09596526","journalAbbreviation":"Journal of Cleaner Production","language":"en","page":"121550","source":"DOI.org (Crossref)","title":"Does technological innovation reduce CO2 emissions?Cross-country evidence","title-short":"Does technological innovation reduce CO2 emissions?","URL":"https://linkinghub.elsevier.com/retrieve/pii/S0959652620315973","volume":"263","author":[{"family":"Chen","given":"Yang"},{"family":"Lee","given":"Chien-Chiang"}],"accessed":{"date-parts":[["2023",12,7]]},"issued":{"date-parts":[["2020",8]]}}}],"schema":"https://github.com/citation-style-language/schema/raw/master/csl-citation.json"} </w:instrText>
      </w:r>
      <w:r w:rsidR="00E02A63">
        <w:fldChar w:fldCharType="separate"/>
      </w:r>
      <w:r w:rsidR="00E02A63">
        <w:rPr>
          <w:noProof/>
        </w:rPr>
        <w:t>(Chen &amp; Lee, 2020)</w:t>
      </w:r>
      <w:r w:rsidR="00E02A63">
        <w:fldChar w:fldCharType="end"/>
      </w:r>
      <w:r w:rsidR="00E02A63">
        <w:t>.</w:t>
      </w:r>
      <w:r w:rsidR="007316C1">
        <w:t xml:space="preserve"> It is important to note, that the stronger </w:t>
      </w:r>
      <w:r w:rsidR="00EA7C40">
        <w:t xml:space="preserve">relationship between SE and PPP suggests that the factors tied to SE </w:t>
      </w:r>
      <w:r w:rsidR="00850953">
        <w:t>might be</w:t>
      </w:r>
      <w:r w:rsidR="00EA7C40">
        <w:t xml:space="preserve"> more influenced by economic growth in comparison to those tied to EPI.</w:t>
      </w:r>
      <w:r w:rsidR="00E02A63">
        <w:t xml:space="preserve"> All this said, t</w:t>
      </w:r>
      <w:r w:rsidRPr="00196A6C">
        <w:t xml:space="preserve">he relatively </w:t>
      </w:r>
      <w:r w:rsidR="00E02A63">
        <w:t>weak</w:t>
      </w:r>
      <w:r w:rsidRPr="00196A6C">
        <w:t xml:space="preserve"> R-squared values </w:t>
      </w:r>
      <w:r w:rsidR="00E02A63">
        <w:t xml:space="preserve">between PPP and each of the indices suggests that </w:t>
      </w:r>
      <w:r w:rsidRPr="00196A6C">
        <w:t xml:space="preserve">substantial </w:t>
      </w:r>
      <w:r w:rsidR="00E02A63">
        <w:t>amount</w:t>
      </w:r>
      <w:r w:rsidRPr="00196A6C">
        <w:t xml:space="preserve"> of their variation is explained by other variables</w:t>
      </w:r>
      <w:r w:rsidR="00E02A63">
        <w:t>.</w:t>
      </w:r>
      <w:r w:rsidR="007316C1">
        <w:t xml:space="preserve"> </w:t>
      </w:r>
    </w:p>
    <w:p w14:paraId="1C20487B" w14:textId="7AD5F6D9" w:rsidR="005702C0" w:rsidRDefault="005702C0" w:rsidP="00E02A63">
      <w:pPr>
        <w:pStyle w:val="NormalWeb"/>
        <w:shd w:val="clear" w:color="auto" w:fill="FFFFFF"/>
        <w:spacing w:before="180" w:beforeAutospacing="0" w:after="180" w:afterAutospacing="0"/>
        <w:rPr>
          <w:b/>
          <w:bCs/>
        </w:rPr>
      </w:pPr>
      <w:r w:rsidRPr="005702C0">
        <w:rPr>
          <w:b/>
          <w:bCs/>
        </w:rPr>
        <w:t>References</w:t>
      </w:r>
    </w:p>
    <w:p w14:paraId="7BA51626" w14:textId="77777777" w:rsidR="005702C0" w:rsidRPr="005702C0" w:rsidRDefault="005702C0" w:rsidP="005702C0">
      <w:pPr>
        <w:pStyle w:val="Bibliography"/>
        <w:rPr>
          <w:rFonts w:ascii="Times New Roman" w:hAnsi="Times New Roman" w:cs="Times New Roman"/>
          <w:lang w:val="en-US"/>
        </w:rPr>
      </w:pPr>
      <w:r>
        <w:rPr>
          <w:b/>
          <w:bCs/>
        </w:rPr>
        <w:fldChar w:fldCharType="begin"/>
      </w:r>
      <w:r>
        <w:rPr>
          <w:b/>
          <w:bCs/>
        </w:rPr>
        <w:instrText xml:space="preserve"> ADDIN ZOTERO_BIBL {"uncited":[],"omitted":[],"custom":[]} CSL_BIBLIOGRAPHY </w:instrText>
      </w:r>
      <w:r>
        <w:rPr>
          <w:b/>
          <w:bCs/>
        </w:rPr>
        <w:fldChar w:fldCharType="separate"/>
      </w:r>
      <w:r w:rsidRPr="005702C0">
        <w:rPr>
          <w:rFonts w:ascii="Times New Roman" w:hAnsi="Times New Roman" w:cs="Times New Roman"/>
          <w:lang w:val="en-US"/>
        </w:rPr>
        <w:t xml:space="preserve">Cavallo, E., Galiani, S., Noy, I., &amp; Pantano, J. (2010). </w:t>
      </w:r>
      <w:r w:rsidRPr="005702C0">
        <w:rPr>
          <w:rFonts w:ascii="Times New Roman" w:hAnsi="Times New Roman" w:cs="Times New Roman"/>
          <w:i/>
          <w:iCs/>
          <w:lang w:val="en-US"/>
        </w:rPr>
        <w:t>Catastrophic Natural Disasters and Economic Growth</w:t>
      </w:r>
      <w:r w:rsidRPr="005702C0">
        <w:rPr>
          <w:rFonts w:ascii="Times New Roman" w:hAnsi="Times New Roman" w:cs="Times New Roman"/>
          <w:lang w:val="en-US"/>
        </w:rPr>
        <w:t>.</w:t>
      </w:r>
    </w:p>
    <w:p w14:paraId="074FA299" w14:textId="77777777" w:rsidR="005702C0" w:rsidRPr="005702C0" w:rsidRDefault="005702C0" w:rsidP="005702C0">
      <w:pPr>
        <w:pStyle w:val="Bibliography"/>
        <w:rPr>
          <w:rFonts w:ascii="Times New Roman" w:hAnsi="Times New Roman" w:cs="Times New Roman"/>
          <w:lang w:val="en-US"/>
        </w:rPr>
      </w:pPr>
      <w:r w:rsidRPr="005702C0">
        <w:rPr>
          <w:rFonts w:ascii="Times New Roman" w:hAnsi="Times New Roman" w:cs="Times New Roman"/>
          <w:lang w:val="en-US"/>
        </w:rPr>
        <w:t xml:space="preserve">Chen, Y., &amp; Lee, C.-C. (2020). Does technological innovation reduce CO2 emissions?Cross-country evidence. </w:t>
      </w:r>
      <w:r w:rsidRPr="005702C0">
        <w:rPr>
          <w:rFonts w:ascii="Times New Roman" w:hAnsi="Times New Roman" w:cs="Times New Roman"/>
          <w:i/>
          <w:iCs/>
          <w:lang w:val="en-US"/>
        </w:rPr>
        <w:t>Journal of Cleaner Production</w:t>
      </w:r>
      <w:r w:rsidRPr="005702C0">
        <w:rPr>
          <w:rFonts w:ascii="Times New Roman" w:hAnsi="Times New Roman" w:cs="Times New Roman"/>
          <w:lang w:val="en-US"/>
        </w:rPr>
        <w:t xml:space="preserve">, </w:t>
      </w:r>
      <w:r w:rsidRPr="005702C0">
        <w:rPr>
          <w:rFonts w:ascii="Times New Roman" w:hAnsi="Times New Roman" w:cs="Times New Roman"/>
          <w:i/>
          <w:iCs/>
          <w:lang w:val="en-US"/>
        </w:rPr>
        <w:t>263</w:t>
      </w:r>
      <w:r w:rsidRPr="005702C0">
        <w:rPr>
          <w:rFonts w:ascii="Times New Roman" w:hAnsi="Times New Roman" w:cs="Times New Roman"/>
          <w:lang w:val="en-US"/>
        </w:rPr>
        <w:t>, 121550. https://doi.org/10.1016/j.jclepro.2020.121550</w:t>
      </w:r>
    </w:p>
    <w:p w14:paraId="151D858D" w14:textId="77777777" w:rsidR="005702C0" w:rsidRPr="005702C0" w:rsidRDefault="005702C0" w:rsidP="005702C0">
      <w:pPr>
        <w:pStyle w:val="Bibliography"/>
        <w:rPr>
          <w:rFonts w:ascii="Times New Roman" w:hAnsi="Times New Roman" w:cs="Times New Roman"/>
          <w:lang w:val="en-US"/>
        </w:rPr>
      </w:pPr>
      <w:r w:rsidRPr="005702C0">
        <w:rPr>
          <w:rFonts w:ascii="Times New Roman" w:hAnsi="Times New Roman" w:cs="Times New Roman"/>
          <w:lang w:val="en-US"/>
        </w:rPr>
        <w:t xml:space="preserve">Cisneros-Montemayor, A. M., Moreno-Báez, M., Reygondeau, G., Cheung, W. W. L., Crosman, K. M., González-Espinosa, P. C., Lam, V. W. Y., Oyinlola, M. A., Singh, G. G., Swartz, </w:t>
      </w:r>
      <w:r w:rsidRPr="005702C0">
        <w:rPr>
          <w:rFonts w:ascii="Times New Roman" w:hAnsi="Times New Roman" w:cs="Times New Roman"/>
          <w:lang w:val="en-US"/>
        </w:rPr>
        <w:lastRenderedPageBreak/>
        <w:t xml:space="preserve">W., Zheng, C., &amp; Ota, Y. (2021). Supplementary information for Enabling conditions for an equitable and sustainable blue economy. </w:t>
      </w:r>
      <w:r w:rsidRPr="005702C0">
        <w:rPr>
          <w:rFonts w:ascii="Times New Roman" w:hAnsi="Times New Roman" w:cs="Times New Roman"/>
          <w:i/>
          <w:iCs/>
          <w:lang w:val="en-US"/>
        </w:rPr>
        <w:t>Nature</w:t>
      </w:r>
      <w:r w:rsidRPr="005702C0">
        <w:rPr>
          <w:rFonts w:ascii="Times New Roman" w:hAnsi="Times New Roman" w:cs="Times New Roman"/>
          <w:lang w:val="en-US"/>
        </w:rPr>
        <w:t xml:space="preserve">, </w:t>
      </w:r>
      <w:r w:rsidRPr="005702C0">
        <w:rPr>
          <w:rFonts w:ascii="Times New Roman" w:hAnsi="Times New Roman" w:cs="Times New Roman"/>
          <w:i/>
          <w:iCs/>
          <w:lang w:val="en-US"/>
        </w:rPr>
        <w:t>591</w:t>
      </w:r>
      <w:r w:rsidRPr="005702C0">
        <w:rPr>
          <w:rFonts w:ascii="Times New Roman" w:hAnsi="Times New Roman" w:cs="Times New Roman"/>
          <w:lang w:val="en-US"/>
        </w:rPr>
        <w:t>(7850), 396–401. https://doi.org/10.1038/s41586-021-03327-3</w:t>
      </w:r>
    </w:p>
    <w:p w14:paraId="28992E04" w14:textId="77777777" w:rsidR="005702C0" w:rsidRPr="005702C0" w:rsidRDefault="005702C0" w:rsidP="005702C0">
      <w:pPr>
        <w:pStyle w:val="Bibliography"/>
        <w:rPr>
          <w:rFonts w:ascii="Times New Roman" w:hAnsi="Times New Roman" w:cs="Times New Roman"/>
          <w:lang w:val="en-US"/>
        </w:rPr>
      </w:pPr>
      <w:r w:rsidRPr="005702C0">
        <w:rPr>
          <w:rFonts w:ascii="Times New Roman" w:hAnsi="Times New Roman" w:cs="Times New Roman"/>
          <w:lang w:val="en-US"/>
        </w:rPr>
        <w:t xml:space="preserve">Messner, J. J., Haken, N., Taft, P., Blyth, H., Maglo, M., Murphy, C., Quinn, A., Carlson, T., Chandler, O., Horwitz, M., Jesch, L., Mathias, B., &amp; Wilson, W. (2018). </w:t>
      </w:r>
      <w:r w:rsidRPr="005702C0">
        <w:rPr>
          <w:rFonts w:ascii="Times New Roman" w:hAnsi="Times New Roman" w:cs="Times New Roman"/>
          <w:i/>
          <w:iCs/>
          <w:lang w:val="en-US"/>
        </w:rPr>
        <w:t>The Fragile States Index</w:t>
      </w:r>
      <w:r w:rsidRPr="005702C0">
        <w:rPr>
          <w:rFonts w:ascii="Times New Roman" w:hAnsi="Times New Roman" w:cs="Times New Roman"/>
          <w:lang w:val="en-US"/>
        </w:rPr>
        <w:t>. The Fund for Peace.</w:t>
      </w:r>
    </w:p>
    <w:p w14:paraId="17872759" w14:textId="77777777" w:rsidR="005702C0" w:rsidRPr="005702C0" w:rsidRDefault="005702C0" w:rsidP="005702C0">
      <w:pPr>
        <w:pStyle w:val="Bibliography"/>
        <w:rPr>
          <w:rFonts w:ascii="Times New Roman" w:hAnsi="Times New Roman" w:cs="Times New Roman"/>
          <w:lang w:val="en-US"/>
        </w:rPr>
      </w:pPr>
      <w:r w:rsidRPr="005702C0">
        <w:rPr>
          <w:rFonts w:ascii="Times New Roman" w:hAnsi="Times New Roman" w:cs="Times New Roman"/>
          <w:lang w:val="en-US"/>
        </w:rPr>
        <w:t xml:space="preserve">The World Bank. (2023). </w:t>
      </w:r>
      <w:r w:rsidRPr="005702C0">
        <w:rPr>
          <w:rFonts w:ascii="Times New Roman" w:hAnsi="Times New Roman" w:cs="Times New Roman"/>
          <w:i/>
          <w:iCs/>
          <w:lang w:val="en-US"/>
        </w:rPr>
        <w:t>Metadata Glossary—GDP growth (GDP per capita growth)</w:t>
      </w:r>
      <w:r w:rsidRPr="005702C0">
        <w:rPr>
          <w:rFonts w:ascii="Times New Roman" w:hAnsi="Times New Roman" w:cs="Times New Roman"/>
          <w:lang w:val="en-US"/>
        </w:rPr>
        <w:t xml:space="preserve"> (5.51.01.10.gdp) [dataset]. The World Bank. https://databank.worldbank.org/metadataglossary/statistical-capacity-indicators/series/5.51.01.10.gdp#:~:text=Long%20definition-,GDP%20per%20capita%20is%20the%20sum%20of%20gross%20value%20added,GDP%20data%20in%20local%20currency.</w:t>
      </w:r>
    </w:p>
    <w:p w14:paraId="36FD3748" w14:textId="77777777" w:rsidR="005702C0" w:rsidRPr="005702C0" w:rsidRDefault="005702C0" w:rsidP="005702C0">
      <w:pPr>
        <w:pStyle w:val="Bibliography"/>
        <w:rPr>
          <w:rFonts w:ascii="Times New Roman" w:hAnsi="Times New Roman" w:cs="Times New Roman"/>
          <w:lang w:val="en-US"/>
        </w:rPr>
      </w:pPr>
      <w:r w:rsidRPr="005702C0">
        <w:rPr>
          <w:rFonts w:ascii="Times New Roman" w:hAnsi="Times New Roman" w:cs="Times New Roman"/>
          <w:lang w:val="en-US"/>
        </w:rPr>
        <w:t xml:space="preserve">Wolf, M. J., Emerson, J. W., Etsy, D. C., de Sherbinin, A., &amp; Wendling, Z. A. (2022). Environmental Performance Index Technical Document. </w:t>
      </w:r>
      <w:r w:rsidRPr="005702C0">
        <w:rPr>
          <w:rFonts w:ascii="Times New Roman" w:hAnsi="Times New Roman" w:cs="Times New Roman"/>
          <w:i/>
          <w:iCs/>
          <w:lang w:val="en-US"/>
        </w:rPr>
        <w:t>Yale Center for Environmental Law &amp; Policy</w:t>
      </w:r>
      <w:r w:rsidRPr="005702C0">
        <w:rPr>
          <w:rFonts w:ascii="Times New Roman" w:hAnsi="Times New Roman" w:cs="Times New Roman"/>
          <w:lang w:val="en-US"/>
        </w:rPr>
        <w:t>. epi.yale.edu</w:t>
      </w:r>
    </w:p>
    <w:p w14:paraId="394645A2" w14:textId="016E7C8F" w:rsidR="005702C0" w:rsidRPr="005702C0" w:rsidRDefault="005702C0" w:rsidP="00E02A63">
      <w:pPr>
        <w:pStyle w:val="NormalWeb"/>
        <w:shd w:val="clear" w:color="auto" w:fill="FFFFFF"/>
        <w:spacing w:before="180" w:beforeAutospacing="0" w:after="180" w:afterAutospacing="0"/>
        <w:rPr>
          <w:b/>
          <w:bCs/>
        </w:rPr>
      </w:pPr>
      <w:r>
        <w:rPr>
          <w:b/>
          <w:bCs/>
        </w:rPr>
        <w:fldChar w:fldCharType="end"/>
      </w:r>
    </w:p>
    <w:sectPr w:rsidR="005702C0" w:rsidRPr="005702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C66BD"/>
    <w:multiLevelType w:val="hybridMultilevel"/>
    <w:tmpl w:val="20327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03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D2"/>
    <w:rsid w:val="00021793"/>
    <w:rsid w:val="0006219C"/>
    <w:rsid w:val="00096759"/>
    <w:rsid w:val="000B37D2"/>
    <w:rsid w:val="00112B12"/>
    <w:rsid w:val="00196A6C"/>
    <w:rsid w:val="001C6B17"/>
    <w:rsid w:val="001E0C43"/>
    <w:rsid w:val="0020159B"/>
    <w:rsid w:val="00225B28"/>
    <w:rsid w:val="00242A42"/>
    <w:rsid w:val="00254DBF"/>
    <w:rsid w:val="00263D48"/>
    <w:rsid w:val="002652D2"/>
    <w:rsid w:val="00290B88"/>
    <w:rsid w:val="002B773B"/>
    <w:rsid w:val="002C599F"/>
    <w:rsid w:val="00305027"/>
    <w:rsid w:val="00340B06"/>
    <w:rsid w:val="003673A6"/>
    <w:rsid w:val="003A2471"/>
    <w:rsid w:val="003C5F9E"/>
    <w:rsid w:val="00402D1B"/>
    <w:rsid w:val="00402DCB"/>
    <w:rsid w:val="00415E59"/>
    <w:rsid w:val="004754F0"/>
    <w:rsid w:val="00487699"/>
    <w:rsid w:val="00490519"/>
    <w:rsid w:val="004D1649"/>
    <w:rsid w:val="00502023"/>
    <w:rsid w:val="00534D56"/>
    <w:rsid w:val="0054545E"/>
    <w:rsid w:val="0056652F"/>
    <w:rsid w:val="005702C0"/>
    <w:rsid w:val="005C02CE"/>
    <w:rsid w:val="00617C35"/>
    <w:rsid w:val="00640153"/>
    <w:rsid w:val="00642F2C"/>
    <w:rsid w:val="006813B6"/>
    <w:rsid w:val="00683735"/>
    <w:rsid w:val="00687F22"/>
    <w:rsid w:val="0072709C"/>
    <w:rsid w:val="007316C1"/>
    <w:rsid w:val="00782EE8"/>
    <w:rsid w:val="007D346E"/>
    <w:rsid w:val="00817B6C"/>
    <w:rsid w:val="00836D02"/>
    <w:rsid w:val="00850953"/>
    <w:rsid w:val="00897608"/>
    <w:rsid w:val="00913C98"/>
    <w:rsid w:val="00915424"/>
    <w:rsid w:val="0093368E"/>
    <w:rsid w:val="009C6C03"/>
    <w:rsid w:val="009D2CC0"/>
    <w:rsid w:val="00A02FFA"/>
    <w:rsid w:val="00AA1F49"/>
    <w:rsid w:val="00AB07AE"/>
    <w:rsid w:val="00AD6CB6"/>
    <w:rsid w:val="00B54FB8"/>
    <w:rsid w:val="00B910A3"/>
    <w:rsid w:val="00BC7C3C"/>
    <w:rsid w:val="00BD4EE8"/>
    <w:rsid w:val="00C124B3"/>
    <w:rsid w:val="00C80C5E"/>
    <w:rsid w:val="00C820FF"/>
    <w:rsid w:val="00CE35E0"/>
    <w:rsid w:val="00D37281"/>
    <w:rsid w:val="00D7604C"/>
    <w:rsid w:val="00DA383A"/>
    <w:rsid w:val="00DB0E00"/>
    <w:rsid w:val="00DB3C31"/>
    <w:rsid w:val="00DB7DEC"/>
    <w:rsid w:val="00DC6B96"/>
    <w:rsid w:val="00DE64D6"/>
    <w:rsid w:val="00E02A63"/>
    <w:rsid w:val="00E101D4"/>
    <w:rsid w:val="00E47C87"/>
    <w:rsid w:val="00E52058"/>
    <w:rsid w:val="00E91368"/>
    <w:rsid w:val="00E9639A"/>
    <w:rsid w:val="00EA7C40"/>
    <w:rsid w:val="00EE3B9E"/>
    <w:rsid w:val="00F53199"/>
    <w:rsid w:val="00F563D6"/>
    <w:rsid w:val="00FC39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11289B"/>
  <w15:chartTrackingRefBased/>
  <w15:docId w15:val="{F929315C-377D-E547-8DC6-C66D388C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383A"/>
    <w:pPr>
      <w:spacing w:before="100" w:beforeAutospacing="1" w:after="100" w:afterAutospacing="1"/>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5702C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565365">
      <w:bodyDiv w:val="1"/>
      <w:marLeft w:val="0"/>
      <w:marRight w:val="0"/>
      <w:marTop w:val="0"/>
      <w:marBottom w:val="0"/>
      <w:divBdr>
        <w:top w:val="none" w:sz="0" w:space="0" w:color="auto"/>
        <w:left w:val="none" w:sz="0" w:space="0" w:color="auto"/>
        <w:bottom w:val="none" w:sz="0" w:space="0" w:color="auto"/>
        <w:right w:val="none" w:sz="0" w:space="0" w:color="auto"/>
      </w:divBdr>
    </w:div>
    <w:div w:id="565147982">
      <w:bodyDiv w:val="1"/>
      <w:marLeft w:val="0"/>
      <w:marRight w:val="0"/>
      <w:marTop w:val="0"/>
      <w:marBottom w:val="0"/>
      <w:divBdr>
        <w:top w:val="none" w:sz="0" w:space="0" w:color="auto"/>
        <w:left w:val="none" w:sz="0" w:space="0" w:color="auto"/>
        <w:bottom w:val="none" w:sz="0" w:space="0" w:color="auto"/>
        <w:right w:val="none" w:sz="0" w:space="0" w:color="auto"/>
      </w:divBdr>
    </w:div>
    <w:div w:id="1114640835">
      <w:bodyDiv w:val="1"/>
      <w:marLeft w:val="0"/>
      <w:marRight w:val="0"/>
      <w:marTop w:val="0"/>
      <w:marBottom w:val="0"/>
      <w:divBdr>
        <w:top w:val="none" w:sz="0" w:space="0" w:color="auto"/>
        <w:left w:val="none" w:sz="0" w:space="0" w:color="auto"/>
        <w:bottom w:val="none" w:sz="0" w:space="0" w:color="auto"/>
        <w:right w:val="none" w:sz="0" w:space="0" w:color="auto"/>
      </w:divBdr>
    </w:div>
    <w:div w:id="1632201497">
      <w:bodyDiv w:val="1"/>
      <w:marLeft w:val="0"/>
      <w:marRight w:val="0"/>
      <w:marTop w:val="0"/>
      <w:marBottom w:val="0"/>
      <w:divBdr>
        <w:top w:val="none" w:sz="0" w:space="0" w:color="auto"/>
        <w:left w:val="none" w:sz="0" w:space="0" w:color="auto"/>
        <w:bottom w:val="none" w:sz="0" w:space="0" w:color="auto"/>
        <w:right w:val="none" w:sz="0" w:space="0" w:color="auto"/>
      </w:divBdr>
    </w:div>
    <w:div w:id="180639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8AC4A-C378-3249-9E02-B2F95C95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Carson</dc:creator>
  <cp:keywords/>
  <dc:description/>
  <cp:lastModifiedBy>Christian Carson</cp:lastModifiedBy>
  <cp:revision>15</cp:revision>
  <dcterms:created xsi:type="dcterms:W3CDTF">2023-12-07T01:28:00Z</dcterms:created>
  <dcterms:modified xsi:type="dcterms:W3CDTF">2023-12-08T04:47:00Z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id="7miINwBS"/&gt;&lt;style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