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ABEE" w14:textId="3395B239" w:rsidR="009606E8" w:rsidRPr="00093F16" w:rsidRDefault="009606E8" w:rsidP="00B11D26">
      <w:pPr>
        <w:jc w:val="right"/>
        <w:rPr>
          <w:rFonts w:ascii="Times New Roman" w:hAnsi="Times New Roman" w:cs="Times New Roman"/>
        </w:rPr>
      </w:pPr>
      <w:r w:rsidRPr="00093F16">
        <w:rPr>
          <w:rFonts w:ascii="Times New Roman" w:hAnsi="Times New Roman" w:cs="Times New Roman"/>
        </w:rPr>
        <w:t>Christian Carson</w:t>
      </w:r>
    </w:p>
    <w:p w14:paraId="6E538954" w14:textId="5F520207" w:rsidR="009606E8" w:rsidRPr="00093F16" w:rsidRDefault="009606E8" w:rsidP="00B11D26">
      <w:pPr>
        <w:jc w:val="right"/>
        <w:rPr>
          <w:rFonts w:ascii="Times New Roman" w:hAnsi="Times New Roman" w:cs="Times New Roman"/>
        </w:rPr>
      </w:pPr>
      <w:r w:rsidRPr="00093F16">
        <w:rPr>
          <w:rFonts w:ascii="Times New Roman" w:hAnsi="Times New Roman" w:cs="Times New Roman"/>
        </w:rPr>
        <w:t>REM 660</w:t>
      </w:r>
    </w:p>
    <w:p w14:paraId="275EC25A" w14:textId="77777777" w:rsidR="009606E8" w:rsidRDefault="009606E8" w:rsidP="00B11D26">
      <w:pPr>
        <w:jc w:val="right"/>
        <w:rPr>
          <w:rFonts w:ascii="Times New Roman" w:hAnsi="Times New Roman" w:cs="Times New Roman"/>
        </w:rPr>
      </w:pPr>
      <w:r w:rsidRPr="00093F16">
        <w:rPr>
          <w:rFonts w:ascii="Times New Roman" w:hAnsi="Times New Roman" w:cs="Times New Roman"/>
        </w:rPr>
        <w:t>One Step</w:t>
      </w:r>
      <w:r w:rsidR="005F0AB3" w:rsidRPr="00093F16">
        <w:rPr>
          <w:rFonts w:ascii="Times New Roman" w:hAnsi="Times New Roman" w:cs="Times New Roman"/>
        </w:rPr>
        <w:t xml:space="preserve">: </w:t>
      </w:r>
      <w:r w:rsidR="004D3FC6" w:rsidRPr="00093F16">
        <w:rPr>
          <w:rFonts w:ascii="Times New Roman" w:hAnsi="Times New Roman" w:cs="Times New Roman"/>
        </w:rPr>
        <w:t>Positionality Statement and Options</w:t>
      </w:r>
      <w:r w:rsidR="006F600D" w:rsidRPr="00093F16">
        <w:rPr>
          <w:rFonts w:ascii="Times New Roman" w:hAnsi="Times New Roman" w:cs="Times New Roman"/>
        </w:rPr>
        <w:t xml:space="preserve"> </w:t>
      </w:r>
      <w:r w:rsidR="001974E6" w:rsidRPr="00093F16">
        <w:rPr>
          <w:rFonts w:ascii="Times New Roman" w:hAnsi="Times New Roman" w:cs="Times New Roman"/>
        </w:rPr>
        <w:t>2</w:t>
      </w:r>
      <w:r w:rsidR="006F600D" w:rsidRPr="00093F16">
        <w:rPr>
          <w:rFonts w:ascii="Times New Roman" w:hAnsi="Times New Roman" w:cs="Times New Roman"/>
        </w:rPr>
        <w:t xml:space="preserve"> </w:t>
      </w:r>
      <w:r w:rsidR="005F0AB3" w:rsidRPr="00093F16">
        <w:rPr>
          <w:rFonts w:ascii="Times New Roman" w:hAnsi="Times New Roman" w:cs="Times New Roman"/>
        </w:rPr>
        <w:t>&amp;</w:t>
      </w:r>
      <w:r w:rsidR="006F600D" w:rsidRPr="00093F16">
        <w:rPr>
          <w:rFonts w:ascii="Times New Roman" w:hAnsi="Times New Roman" w:cs="Times New Roman"/>
        </w:rPr>
        <w:t xml:space="preserve"> 5</w:t>
      </w:r>
      <w:r w:rsidR="005F0AB3" w:rsidRPr="00093F16">
        <w:rPr>
          <w:rFonts w:ascii="Times New Roman" w:hAnsi="Times New Roman" w:cs="Times New Roman"/>
        </w:rPr>
        <w:t xml:space="preserve"> (Combined)</w:t>
      </w:r>
    </w:p>
    <w:p w14:paraId="5DCDA62C" w14:textId="57D87682" w:rsidR="00931288" w:rsidRPr="00931288" w:rsidRDefault="00931288" w:rsidP="00931288">
      <w:pPr>
        <w:pStyle w:val="Caption"/>
        <w:rPr>
          <w:rFonts w:ascii="Times New Roman" w:hAnsi="Times New Roman" w:cs="Times New Roman"/>
          <w:b/>
          <w:bCs/>
          <w:i w:val="0"/>
          <w:iCs w:val="0"/>
          <w:color w:val="auto"/>
          <w:sz w:val="24"/>
          <w:szCs w:val="24"/>
        </w:rPr>
      </w:pPr>
      <w:bookmarkStart w:id="0" w:name="_Ref157883639"/>
      <w:r w:rsidRPr="00931288">
        <w:rPr>
          <w:rFonts w:ascii="Times New Roman" w:hAnsi="Times New Roman" w:cs="Times New Roman"/>
          <w:b/>
          <w:bCs/>
          <w:i w:val="0"/>
          <w:iCs w:val="0"/>
          <w:color w:val="auto"/>
          <w:sz w:val="24"/>
          <w:szCs w:val="24"/>
        </w:rPr>
        <w:t xml:space="preserve">Table </w:t>
      </w:r>
      <w:r w:rsidRPr="00931288">
        <w:rPr>
          <w:rFonts w:ascii="Times New Roman" w:hAnsi="Times New Roman" w:cs="Times New Roman"/>
          <w:b/>
          <w:bCs/>
          <w:i w:val="0"/>
          <w:iCs w:val="0"/>
          <w:color w:val="auto"/>
          <w:sz w:val="24"/>
          <w:szCs w:val="24"/>
        </w:rPr>
        <w:fldChar w:fldCharType="begin"/>
      </w:r>
      <w:r w:rsidRPr="00931288">
        <w:rPr>
          <w:rFonts w:ascii="Times New Roman" w:hAnsi="Times New Roman" w:cs="Times New Roman"/>
          <w:b/>
          <w:bCs/>
          <w:i w:val="0"/>
          <w:iCs w:val="0"/>
          <w:color w:val="auto"/>
          <w:sz w:val="24"/>
          <w:szCs w:val="24"/>
        </w:rPr>
        <w:instrText xml:space="preserve"> SEQ Table \* ARABIC </w:instrText>
      </w:r>
      <w:r w:rsidRPr="00931288">
        <w:rPr>
          <w:rFonts w:ascii="Times New Roman" w:hAnsi="Times New Roman" w:cs="Times New Roman"/>
          <w:b/>
          <w:bCs/>
          <w:i w:val="0"/>
          <w:iCs w:val="0"/>
          <w:color w:val="auto"/>
          <w:sz w:val="24"/>
          <w:szCs w:val="24"/>
        </w:rPr>
        <w:fldChar w:fldCharType="separate"/>
      </w:r>
      <w:r w:rsidR="00946BCD">
        <w:rPr>
          <w:rFonts w:ascii="Times New Roman" w:hAnsi="Times New Roman" w:cs="Times New Roman"/>
          <w:b/>
          <w:bCs/>
          <w:i w:val="0"/>
          <w:iCs w:val="0"/>
          <w:noProof/>
          <w:color w:val="auto"/>
          <w:sz w:val="24"/>
          <w:szCs w:val="24"/>
        </w:rPr>
        <w:t>1</w:t>
      </w:r>
      <w:r w:rsidRPr="00931288">
        <w:rPr>
          <w:rFonts w:ascii="Times New Roman" w:hAnsi="Times New Roman" w:cs="Times New Roman"/>
          <w:b/>
          <w:bCs/>
          <w:i w:val="0"/>
          <w:iCs w:val="0"/>
          <w:color w:val="auto"/>
          <w:sz w:val="24"/>
          <w:szCs w:val="24"/>
        </w:rPr>
        <w:fldChar w:fldCharType="end"/>
      </w:r>
      <w:bookmarkEnd w:id="0"/>
      <w:r w:rsidRPr="00931288">
        <w:rPr>
          <w:rFonts w:ascii="Times New Roman" w:hAnsi="Times New Roman" w:cs="Times New Roman"/>
          <w:b/>
          <w:bCs/>
          <w:i w:val="0"/>
          <w:iCs w:val="0"/>
          <w:color w:val="auto"/>
          <w:sz w:val="24"/>
          <w:szCs w:val="24"/>
        </w:rPr>
        <w:t xml:space="preserve">. </w:t>
      </w:r>
    </w:p>
    <w:p w14:paraId="662C33FF" w14:textId="6BDB30BD" w:rsidR="00C834A7" w:rsidRPr="00931288" w:rsidRDefault="00931288" w:rsidP="00931288">
      <w:pPr>
        <w:pStyle w:val="Caption"/>
        <w:rPr>
          <w:rFonts w:ascii="Times New Roman" w:hAnsi="Times New Roman" w:cs="Times New Roman"/>
          <w:color w:val="auto"/>
          <w:sz w:val="24"/>
          <w:szCs w:val="24"/>
        </w:rPr>
      </w:pPr>
      <w:r w:rsidRPr="00931288">
        <w:rPr>
          <w:rFonts w:ascii="Times New Roman" w:hAnsi="Times New Roman" w:cs="Times New Roman"/>
          <w:color w:val="auto"/>
          <w:sz w:val="24"/>
          <w:szCs w:val="24"/>
        </w:rPr>
        <w:t xml:space="preserve">Secwepemctsín </w:t>
      </w:r>
      <w:r w:rsidRPr="00931288">
        <w:rPr>
          <w:rFonts w:ascii="Times New Roman" w:hAnsi="Times New Roman" w:cs="Times New Roman"/>
          <w:color w:val="auto"/>
          <w:sz w:val="24"/>
          <w:szCs w:val="24"/>
        </w:rPr>
        <w:t>T</w:t>
      </w:r>
      <w:r w:rsidRPr="00931288">
        <w:rPr>
          <w:rFonts w:ascii="Times New Roman" w:hAnsi="Times New Roman" w:cs="Times New Roman"/>
          <w:color w:val="auto"/>
          <w:sz w:val="24"/>
          <w:szCs w:val="24"/>
        </w:rPr>
        <w:t xml:space="preserve">erms </w:t>
      </w:r>
      <w:r w:rsidRPr="00931288">
        <w:rPr>
          <w:rFonts w:ascii="Times New Roman" w:hAnsi="Times New Roman" w:cs="Times New Roman"/>
          <w:color w:val="auto"/>
          <w:sz w:val="24"/>
          <w:szCs w:val="24"/>
        </w:rPr>
        <w:t>and Definitions</w:t>
      </w:r>
    </w:p>
    <w:tbl>
      <w:tblPr>
        <w:tblStyle w:val="TableGrid"/>
        <w:tblW w:w="9351" w:type="dxa"/>
        <w:tblLook w:val="04A0" w:firstRow="1" w:lastRow="0" w:firstColumn="1" w:lastColumn="0" w:noHBand="0" w:noVBand="1"/>
      </w:tblPr>
      <w:tblGrid>
        <w:gridCol w:w="3256"/>
        <w:gridCol w:w="6095"/>
      </w:tblGrid>
      <w:tr w:rsidR="00596005" w:rsidRPr="00093F16" w14:paraId="2DF94C45" w14:textId="07E40336" w:rsidTr="00B11D26">
        <w:tc>
          <w:tcPr>
            <w:tcW w:w="3256" w:type="dxa"/>
          </w:tcPr>
          <w:p w14:paraId="5E70F1CE" w14:textId="7C487B15" w:rsidR="00596005" w:rsidRPr="00093F16" w:rsidRDefault="00596005" w:rsidP="00A21BD8">
            <w:pPr>
              <w:rPr>
                <w:rFonts w:ascii="Times New Roman" w:hAnsi="Times New Roman" w:cs="Times New Roman"/>
                <w:b/>
                <w:bCs/>
              </w:rPr>
            </w:pPr>
            <w:r w:rsidRPr="00093F16">
              <w:rPr>
                <w:rFonts w:ascii="Times New Roman" w:hAnsi="Times New Roman" w:cs="Times New Roman"/>
                <w:b/>
                <w:bCs/>
              </w:rPr>
              <w:t>Key Terms</w:t>
            </w:r>
          </w:p>
        </w:tc>
        <w:tc>
          <w:tcPr>
            <w:tcW w:w="6095" w:type="dxa"/>
          </w:tcPr>
          <w:p w14:paraId="515BD1D5" w14:textId="559228F6" w:rsidR="00596005" w:rsidRPr="00093F16" w:rsidRDefault="00596005" w:rsidP="00A21BD8">
            <w:pPr>
              <w:rPr>
                <w:rFonts w:ascii="Times New Roman" w:hAnsi="Times New Roman" w:cs="Times New Roman"/>
                <w:b/>
                <w:bCs/>
              </w:rPr>
            </w:pPr>
            <w:r w:rsidRPr="00093F16">
              <w:rPr>
                <w:rFonts w:ascii="Times New Roman" w:hAnsi="Times New Roman" w:cs="Times New Roman"/>
                <w:b/>
                <w:bCs/>
              </w:rPr>
              <w:t>Definitions</w:t>
            </w:r>
          </w:p>
        </w:tc>
      </w:tr>
      <w:tr w:rsidR="00596005" w:rsidRPr="00093F16" w14:paraId="3C446116" w14:textId="4A8DC074" w:rsidTr="00B11D26">
        <w:tc>
          <w:tcPr>
            <w:tcW w:w="3256" w:type="dxa"/>
          </w:tcPr>
          <w:p w14:paraId="4FEFC423" w14:textId="23F56FAC" w:rsidR="00596005" w:rsidRPr="00093F16" w:rsidRDefault="00596005" w:rsidP="00A21BD8">
            <w:pPr>
              <w:rPr>
                <w:rFonts w:ascii="Times New Roman" w:hAnsi="Times New Roman" w:cs="Times New Roman"/>
              </w:rPr>
            </w:pPr>
            <w:r w:rsidRPr="00093F16">
              <w:rPr>
                <w:rFonts w:ascii="Times New Roman" w:hAnsi="Times New Roman" w:cs="Times New Roman"/>
              </w:rPr>
              <w:t xml:space="preserve">Secwepemc </w:t>
            </w:r>
          </w:p>
        </w:tc>
        <w:tc>
          <w:tcPr>
            <w:tcW w:w="6095" w:type="dxa"/>
          </w:tcPr>
          <w:p w14:paraId="3B1D0772" w14:textId="5ECA067C" w:rsidR="00596005" w:rsidRPr="00093F16" w:rsidRDefault="00596005" w:rsidP="00A21BD8">
            <w:pPr>
              <w:rPr>
                <w:rFonts w:ascii="Times New Roman" w:hAnsi="Times New Roman" w:cs="Times New Roman"/>
                <w:b/>
                <w:bCs/>
              </w:rPr>
            </w:pPr>
            <w:r w:rsidRPr="00093F16">
              <w:rPr>
                <w:rFonts w:ascii="Times New Roman" w:hAnsi="Times New Roman" w:cs="Times New Roman"/>
              </w:rPr>
              <w:t>The larger Interior Salish nation to which the Simpcwemc belong</w:t>
            </w:r>
            <w:r w:rsidR="00763217" w:rsidRPr="00093F16">
              <w:rPr>
                <w:rFonts w:ascii="Times New Roman" w:hAnsi="Times New Roman" w:cs="Times New Roman"/>
              </w:rPr>
              <w:t xml:space="preserve"> (also know as Shuswap)</w:t>
            </w:r>
          </w:p>
        </w:tc>
      </w:tr>
      <w:tr w:rsidR="00596005" w:rsidRPr="00093F16" w14:paraId="2B85987B" w14:textId="77777777" w:rsidTr="00B11D26">
        <w:tc>
          <w:tcPr>
            <w:tcW w:w="3256" w:type="dxa"/>
          </w:tcPr>
          <w:p w14:paraId="3890BCEC" w14:textId="73C44828"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Simpcwemc </w:t>
            </w:r>
          </w:p>
        </w:tc>
        <w:tc>
          <w:tcPr>
            <w:tcW w:w="6095" w:type="dxa"/>
          </w:tcPr>
          <w:p w14:paraId="23AC7EB5" w14:textId="631775EA" w:rsidR="00596005" w:rsidRPr="00093F16" w:rsidRDefault="00596005" w:rsidP="00A542F5">
            <w:pPr>
              <w:rPr>
                <w:rFonts w:ascii="Times New Roman" w:hAnsi="Times New Roman" w:cs="Times New Roman"/>
              </w:rPr>
            </w:pPr>
            <w:r w:rsidRPr="00093F16">
              <w:rPr>
                <w:rFonts w:ascii="Times New Roman" w:hAnsi="Times New Roman" w:cs="Times New Roman"/>
              </w:rPr>
              <w:t>The people of Simpcwul’ecw</w:t>
            </w:r>
          </w:p>
        </w:tc>
      </w:tr>
      <w:tr w:rsidR="00596005" w:rsidRPr="00093F16" w14:paraId="11AD87A4" w14:textId="77777777" w:rsidTr="00B11D26">
        <w:tc>
          <w:tcPr>
            <w:tcW w:w="3256" w:type="dxa"/>
          </w:tcPr>
          <w:p w14:paraId="7E252FB9" w14:textId="0E4A2B7A" w:rsidR="00596005" w:rsidRPr="00093F16" w:rsidRDefault="00596005" w:rsidP="00A542F5">
            <w:pPr>
              <w:rPr>
                <w:rFonts w:ascii="Times New Roman" w:hAnsi="Times New Roman" w:cs="Times New Roman"/>
              </w:rPr>
            </w:pPr>
            <w:r w:rsidRPr="00093F16">
              <w:rPr>
                <w:rFonts w:ascii="Times New Roman" w:hAnsi="Times New Roman" w:cs="Times New Roman"/>
              </w:rPr>
              <w:t>Simpcw</w:t>
            </w:r>
          </w:p>
        </w:tc>
        <w:tc>
          <w:tcPr>
            <w:tcW w:w="6095" w:type="dxa"/>
          </w:tcPr>
          <w:p w14:paraId="73A4BB2C" w14:textId="308CB0BD" w:rsidR="00596005" w:rsidRPr="00093F16" w:rsidRDefault="00596005" w:rsidP="00A542F5">
            <w:pPr>
              <w:rPr>
                <w:rFonts w:ascii="Times New Roman" w:hAnsi="Times New Roman" w:cs="Times New Roman"/>
              </w:rPr>
            </w:pPr>
            <w:r w:rsidRPr="00093F16">
              <w:rPr>
                <w:rFonts w:ascii="Times New Roman" w:hAnsi="Times New Roman" w:cs="Times New Roman"/>
              </w:rPr>
              <w:t>Simpcw First Nation, the political body representing the Simpcwemc membership</w:t>
            </w:r>
          </w:p>
        </w:tc>
      </w:tr>
      <w:tr w:rsidR="00596005" w:rsidRPr="00093F16" w14:paraId="120CE3AB" w14:textId="77777777" w:rsidTr="00B11D26">
        <w:tc>
          <w:tcPr>
            <w:tcW w:w="3256" w:type="dxa"/>
          </w:tcPr>
          <w:p w14:paraId="192706BB" w14:textId="328F4811"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Simpcwul’ecw </w:t>
            </w:r>
          </w:p>
        </w:tc>
        <w:tc>
          <w:tcPr>
            <w:tcW w:w="6095" w:type="dxa"/>
          </w:tcPr>
          <w:p w14:paraId="093A0635" w14:textId="20368538" w:rsidR="00596005" w:rsidRPr="00093F16" w:rsidRDefault="00596005" w:rsidP="00A542F5">
            <w:pPr>
              <w:rPr>
                <w:rFonts w:ascii="Times New Roman" w:hAnsi="Times New Roman" w:cs="Times New Roman"/>
              </w:rPr>
            </w:pPr>
            <w:r w:rsidRPr="00093F16">
              <w:rPr>
                <w:rFonts w:ascii="Times New Roman" w:hAnsi="Times New Roman" w:cs="Times New Roman"/>
              </w:rPr>
              <w:t>Simpcw First Nation Traditional Territory</w:t>
            </w:r>
          </w:p>
        </w:tc>
      </w:tr>
      <w:tr w:rsidR="00596005" w:rsidRPr="00093F16" w14:paraId="7F48D467" w14:textId="63B36A11" w:rsidTr="00B11D26">
        <w:tc>
          <w:tcPr>
            <w:tcW w:w="3256" w:type="dxa"/>
          </w:tcPr>
          <w:p w14:paraId="264D51D3" w14:textId="2BAF6E37"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Simpcw⁷etkwe </w:t>
            </w:r>
          </w:p>
        </w:tc>
        <w:tc>
          <w:tcPr>
            <w:tcW w:w="6095" w:type="dxa"/>
          </w:tcPr>
          <w:p w14:paraId="74F8FD37" w14:textId="42B870D4" w:rsidR="00596005" w:rsidRPr="00093F16" w:rsidRDefault="00596005" w:rsidP="00A542F5">
            <w:pPr>
              <w:rPr>
                <w:rFonts w:ascii="Times New Roman" w:hAnsi="Times New Roman" w:cs="Times New Roman"/>
                <w:b/>
                <w:bCs/>
              </w:rPr>
            </w:pPr>
            <w:r w:rsidRPr="00093F16">
              <w:rPr>
                <w:rFonts w:ascii="Times New Roman" w:hAnsi="Times New Roman" w:cs="Times New Roman"/>
              </w:rPr>
              <w:t>The river of Simpcwemc</w:t>
            </w:r>
          </w:p>
        </w:tc>
      </w:tr>
      <w:tr w:rsidR="00596005" w:rsidRPr="00093F16" w14:paraId="0FCA73E3" w14:textId="0F172E87" w:rsidTr="00B11D26">
        <w:tc>
          <w:tcPr>
            <w:tcW w:w="3256" w:type="dxa"/>
          </w:tcPr>
          <w:p w14:paraId="280981EF" w14:textId="7C2EA42A"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Secwepemctsín </w:t>
            </w:r>
          </w:p>
        </w:tc>
        <w:tc>
          <w:tcPr>
            <w:tcW w:w="6095" w:type="dxa"/>
          </w:tcPr>
          <w:p w14:paraId="0760BB27" w14:textId="5147FA2C" w:rsidR="00596005" w:rsidRPr="00093F16" w:rsidRDefault="00596005" w:rsidP="00A542F5">
            <w:pPr>
              <w:rPr>
                <w:rFonts w:ascii="Times New Roman" w:hAnsi="Times New Roman" w:cs="Times New Roman"/>
                <w:b/>
                <w:bCs/>
              </w:rPr>
            </w:pPr>
            <w:r w:rsidRPr="00093F16">
              <w:rPr>
                <w:rFonts w:ascii="Times New Roman" w:hAnsi="Times New Roman" w:cs="Times New Roman"/>
              </w:rPr>
              <w:t>The shared Salishan language with regional variations for all Secwepemc peoples, of which Simpcwemc is one.</w:t>
            </w:r>
          </w:p>
        </w:tc>
      </w:tr>
      <w:tr w:rsidR="0058788C" w:rsidRPr="00093F16" w14:paraId="07BBCE2C" w14:textId="77777777" w:rsidTr="00B11D26">
        <w:tc>
          <w:tcPr>
            <w:tcW w:w="3256" w:type="dxa"/>
          </w:tcPr>
          <w:p w14:paraId="3B2B3D24" w14:textId="17FFD770" w:rsidR="0058788C" w:rsidRPr="00093F16" w:rsidRDefault="0058788C" w:rsidP="00A542F5">
            <w:pPr>
              <w:rPr>
                <w:rFonts w:ascii="Times New Roman" w:hAnsi="Times New Roman" w:cs="Times New Roman"/>
              </w:rPr>
            </w:pPr>
            <w:r w:rsidRPr="00093F16">
              <w:rPr>
                <w:rFonts w:ascii="Times New Roman" w:hAnsi="Times New Roman" w:cs="Times New Roman"/>
              </w:rPr>
              <w:t>Spallulukw ta Yecweminte re Tmicw</w:t>
            </w:r>
          </w:p>
        </w:tc>
        <w:tc>
          <w:tcPr>
            <w:tcW w:w="6095" w:type="dxa"/>
          </w:tcPr>
          <w:p w14:paraId="04D558C9" w14:textId="15169547" w:rsidR="0058788C" w:rsidRPr="00093F16" w:rsidRDefault="007702A1" w:rsidP="00A542F5">
            <w:pPr>
              <w:rPr>
                <w:rFonts w:ascii="Times New Roman" w:hAnsi="Times New Roman" w:cs="Times New Roman"/>
              </w:rPr>
            </w:pPr>
            <w:r w:rsidRPr="00093F16">
              <w:rPr>
                <w:rFonts w:ascii="Times New Roman" w:hAnsi="Times New Roman" w:cs="Times New Roman"/>
              </w:rPr>
              <w:t>To g</w:t>
            </w:r>
            <w:r w:rsidR="0058788C" w:rsidRPr="00093F16">
              <w:rPr>
                <w:rFonts w:ascii="Times New Roman" w:hAnsi="Times New Roman" w:cs="Times New Roman"/>
              </w:rPr>
              <w:t>ather for the purposes of looking after the land</w:t>
            </w:r>
          </w:p>
        </w:tc>
      </w:tr>
      <w:tr w:rsidR="00EE0760" w:rsidRPr="00093F16" w14:paraId="53F09D82" w14:textId="77777777" w:rsidTr="00B11D26">
        <w:tc>
          <w:tcPr>
            <w:tcW w:w="3256" w:type="dxa"/>
          </w:tcPr>
          <w:p w14:paraId="01297736" w14:textId="3DDBC244" w:rsidR="00EE0760" w:rsidRPr="00093F16" w:rsidRDefault="00EE0760" w:rsidP="00EE0760">
            <w:pPr>
              <w:rPr>
                <w:rFonts w:ascii="Times New Roman" w:hAnsi="Times New Roman" w:cs="Times New Roman"/>
              </w:rPr>
            </w:pPr>
            <w:r w:rsidRPr="00093F16">
              <w:rPr>
                <w:rFonts w:ascii="Times New Roman" w:hAnsi="Times New Roman" w:cs="Times New Roman"/>
              </w:rPr>
              <w:t>tmicw</w:t>
            </w:r>
          </w:p>
        </w:tc>
        <w:tc>
          <w:tcPr>
            <w:tcW w:w="6095" w:type="dxa"/>
          </w:tcPr>
          <w:p w14:paraId="2ECEF097" w14:textId="51120B66" w:rsidR="00EE0760" w:rsidRPr="00093F16" w:rsidRDefault="007702A1" w:rsidP="00EE0760">
            <w:pPr>
              <w:rPr>
                <w:rFonts w:ascii="Times New Roman" w:hAnsi="Times New Roman" w:cs="Times New Roman"/>
              </w:rPr>
            </w:pPr>
            <w:r w:rsidRPr="00093F16">
              <w:rPr>
                <w:rFonts w:ascii="Times New Roman" w:hAnsi="Times New Roman" w:cs="Times New Roman"/>
              </w:rPr>
              <w:t>L</w:t>
            </w:r>
            <w:r w:rsidR="00EE0760" w:rsidRPr="00093F16">
              <w:rPr>
                <w:rFonts w:ascii="Times New Roman" w:hAnsi="Times New Roman" w:cs="Times New Roman"/>
              </w:rPr>
              <w:t>and</w:t>
            </w:r>
          </w:p>
        </w:tc>
      </w:tr>
      <w:tr w:rsidR="00596005" w:rsidRPr="00093F16" w14:paraId="292A0181" w14:textId="77777777" w:rsidTr="00B11D26">
        <w:tc>
          <w:tcPr>
            <w:tcW w:w="3256" w:type="dxa"/>
          </w:tcPr>
          <w:p w14:paraId="4250E429" w14:textId="4D30F3BA" w:rsidR="00596005" w:rsidRPr="00093F16" w:rsidRDefault="00596005" w:rsidP="00A542F5">
            <w:pPr>
              <w:rPr>
                <w:rFonts w:ascii="Times New Roman" w:hAnsi="Times New Roman" w:cs="Times New Roman"/>
              </w:rPr>
            </w:pPr>
            <w:r w:rsidRPr="00093F16">
              <w:rPr>
                <w:rFonts w:ascii="Times New Roman" w:hAnsi="Times New Roman" w:cs="Times New Roman"/>
              </w:rPr>
              <w:t>Yecwmenúlecw</w:t>
            </w:r>
          </w:p>
        </w:tc>
        <w:tc>
          <w:tcPr>
            <w:tcW w:w="6095" w:type="dxa"/>
          </w:tcPr>
          <w:p w14:paraId="344DD67B" w14:textId="5B1580AA"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Take Care of the </w:t>
            </w:r>
            <w:r w:rsidR="00212210" w:rsidRPr="00093F16">
              <w:rPr>
                <w:rFonts w:ascii="Times New Roman" w:hAnsi="Times New Roman" w:cs="Times New Roman"/>
              </w:rPr>
              <w:t>t</w:t>
            </w:r>
            <w:r w:rsidRPr="00093F16">
              <w:rPr>
                <w:rFonts w:ascii="Times New Roman" w:hAnsi="Times New Roman" w:cs="Times New Roman"/>
              </w:rPr>
              <w:t>micw (Land)</w:t>
            </w:r>
          </w:p>
        </w:tc>
      </w:tr>
      <w:tr w:rsidR="00596005" w:rsidRPr="00093F16" w14:paraId="585EE454" w14:textId="77777777" w:rsidTr="00B11D26">
        <w:tc>
          <w:tcPr>
            <w:tcW w:w="3256" w:type="dxa"/>
          </w:tcPr>
          <w:p w14:paraId="44910EA2" w14:textId="0CC997F1" w:rsidR="00596005" w:rsidRPr="00093F16" w:rsidRDefault="00596005" w:rsidP="00A542F5">
            <w:pPr>
              <w:rPr>
                <w:rFonts w:ascii="Times New Roman" w:hAnsi="Times New Roman" w:cs="Times New Roman"/>
              </w:rPr>
            </w:pPr>
            <w:r w:rsidRPr="00093F16">
              <w:rPr>
                <w:rFonts w:ascii="Times New Roman" w:hAnsi="Times New Roman" w:cs="Times New Roman"/>
              </w:rPr>
              <w:t>Tknémentem</w:t>
            </w:r>
          </w:p>
        </w:tc>
        <w:tc>
          <w:tcPr>
            <w:tcW w:w="6095" w:type="dxa"/>
          </w:tcPr>
          <w:p w14:paraId="0BEB2E61" w14:textId="731F7C26"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Preserve the </w:t>
            </w:r>
            <w:r w:rsidR="00212210" w:rsidRPr="00093F16">
              <w:rPr>
                <w:rFonts w:ascii="Times New Roman" w:hAnsi="Times New Roman" w:cs="Times New Roman"/>
              </w:rPr>
              <w:t>t</w:t>
            </w:r>
            <w:r w:rsidRPr="00093F16">
              <w:rPr>
                <w:rFonts w:ascii="Times New Roman" w:hAnsi="Times New Roman" w:cs="Times New Roman"/>
              </w:rPr>
              <w:t>micw (Land)</w:t>
            </w:r>
          </w:p>
        </w:tc>
      </w:tr>
      <w:tr w:rsidR="00596005" w:rsidRPr="00093F16" w14:paraId="0A30DE64" w14:textId="77777777" w:rsidTr="00B11D26">
        <w:tc>
          <w:tcPr>
            <w:tcW w:w="3256" w:type="dxa"/>
          </w:tcPr>
          <w:p w14:paraId="653FCA3E" w14:textId="7638FFAB" w:rsidR="00596005" w:rsidRPr="00093F16" w:rsidRDefault="00596005" w:rsidP="00A542F5">
            <w:pPr>
              <w:rPr>
                <w:rFonts w:ascii="Times New Roman" w:hAnsi="Times New Roman" w:cs="Times New Roman"/>
              </w:rPr>
            </w:pPr>
            <w:r w:rsidRPr="00093F16">
              <w:rPr>
                <w:rFonts w:ascii="Times New Roman" w:hAnsi="Times New Roman" w:cs="Times New Roman"/>
              </w:rPr>
              <w:t>Xyemstém re Tmicw</w:t>
            </w:r>
          </w:p>
        </w:tc>
        <w:tc>
          <w:tcPr>
            <w:tcW w:w="6095" w:type="dxa"/>
          </w:tcPr>
          <w:p w14:paraId="5B3E9040" w14:textId="6AB6BC75" w:rsidR="00596005" w:rsidRPr="00093F16" w:rsidRDefault="00596005" w:rsidP="00A542F5">
            <w:pPr>
              <w:rPr>
                <w:rFonts w:ascii="Times New Roman" w:hAnsi="Times New Roman" w:cs="Times New Roman"/>
              </w:rPr>
            </w:pPr>
            <w:r w:rsidRPr="00093F16">
              <w:rPr>
                <w:rFonts w:ascii="Times New Roman" w:hAnsi="Times New Roman" w:cs="Times New Roman"/>
              </w:rPr>
              <w:t xml:space="preserve">Respect the </w:t>
            </w:r>
            <w:r w:rsidR="00212210" w:rsidRPr="00093F16">
              <w:rPr>
                <w:rFonts w:ascii="Times New Roman" w:hAnsi="Times New Roman" w:cs="Times New Roman"/>
              </w:rPr>
              <w:t>e</w:t>
            </w:r>
            <w:r w:rsidRPr="00093F16">
              <w:rPr>
                <w:rFonts w:ascii="Times New Roman" w:hAnsi="Times New Roman" w:cs="Times New Roman"/>
              </w:rPr>
              <w:t>arth</w:t>
            </w:r>
          </w:p>
        </w:tc>
      </w:tr>
      <w:tr w:rsidR="00596005" w:rsidRPr="00093F16" w14:paraId="38A986D4" w14:textId="77777777" w:rsidTr="00B11D26">
        <w:tc>
          <w:tcPr>
            <w:tcW w:w="3256" w:type="dxa"/>
          </w:tcPr>
          <w:p w14:paraId="586D733C" w14:textId="4EC0BC5B" w:rsidR="00596005" w:rsidRPr="00093F16" w:rsidRDefault="00596005" w:rsidP="00A542F5">
            <w:pPr>
              <w:rPr>
                <w:rFonts w:ascii="Times New Roman" w:hAnsi="Times New Roman" w:cs="Times New Roman"/>
              </w:rPr>
            </w:pPr>
            <w:r w:rsidRPr="00093F16">
              <w:rPr>
                <w:rFonts w:ascii="Times New Roman" w:hAnsi="Times New Roman" w:cs="Times New Roman"/>
              </w:rPr>
              <w:t>Slexéy̓em</w:t>
            </w:r>
          </w:p>
        </w:tc>
        <w:tc>
          <w:tcPr>
            <w:tcW w:w="6095" w:type="dxa"/>
          </w:tcPr>
          <w:p w14:paraId="79EA9D82" w14:textId="12240C84" w:rsidR="00596005" w:rsidRPr="00093F16" w:rsidRDefault="00596005" w:rsidP="00A542F5">
            <w:pPr>
              <w:rPr>
                <w:rFonts w:ascii="Times New Roman" w:hAnsi="Times New Roman" w:cs="Times New Roman"/>
              </w:rPr>
            </w:pPr>
            <w:r w:rsidRPr="00093F16">
              <w:rPr>
                <w:rFonts w:ascii="Times New Roman" w:hAnsi="Times New Roman" w:cs="Times New Roman"/>
              </w:rPr>
              <w:t>Secwepemc stories</w:t>
            </w:r>
          </w:p>
        </w:tc>
      </w:tr>
      <w:tr w:rsidR="00596005" w:rsidRPr="00093F16" w14:paraId="15F13F13" w14:textId="77777777" w:rsidTr="00B11D26">
        <w:tc>
          <w:tcPr>
            <w:tcW w:w="3256" w:type="dxa"/>
          </w:tcPr>
          <w:p w14:paraId="4E3E82FC" w14:textId="089CEB65" w:rsidR="00596005" w:rsidRPr="00093F16" w:rsidRDefault="00596005" w:rsidP="002712D4">
            <w:pPr>
              <w:rPr>
                <w:rFonts w:ascii="Times New Roman" w:hAnsi="Times New Roman" w:cs="Times New Roman"/>
              </w:rPr>
            </w:pPr>
            <w:r w:rsidRPr="00093F16">
              <w:rPr>
                <w:rFonts w:ascii="Times New Roman" w:hAnsi="Times New Roman" w:cs="Times New Roman"/>
              </w:rPr>
              <w:t>Stsq̓eý</w:t>
            </w:r>
          </w:p>
        </w:tc>
        <w:tc>
          <w:tcPr>
            <w:tcW w:w="6095" w:type="dxa"/>
          </w:tcPr>
          <w:p w14:paraId="4F33EBFE" w14:textId="4A6A65A7" w:rsidR="00596005" w:rsidRPr="00093F16" w:rsidRDefault="00596005" w:rsidP="002712D4">
            <w:pPr>
              <w:rPr>
                <w:rFonts w:ascii="Times New Roman" w:hAnsi="Times New Roman" w:cs="Times New Roman"/>
              </w:rPr>
            </w:pPr>
            <w:r w:rsidRPr="00093F16">
              <w:rPr>
                <w:rFonts w:ascii="Times New Roman" w:hAnsi="Times New Roman" w:cs="Times New Roman"/>
              </w:rPr>
              <w:t>Secwepemc laws</w:t>
            </w:r>
          </w:p>
        </w:tc>
      </w:tr>
      <w:tr w:rsidR="00596005" w:rsidRPr="00093F16" w14:paraId="5D07BDBB" w14:textId="77777777" w:rsidTr="00B11D26">
        <w:tc>
          <w:tcPr>
            <w:tcW w:w="3256" w:type="dxa"/>
          </w:tcPr>
          <w:p w14:paraId="294E6A75" w14:textId="4787DCC9" w:rsidR="00596005" w:rsidRPr="00093F16" w:rsidRDefault="00596005" w:rsidP="002712D4">
            <w:pPr>
              <w:rPr>
                <w:rFonts w:ascii="Times New Roman" w:hAnsi="Times New Roman" w:cs="Times New Roman"/>
              </w:rPr>
            </w:pPr>
            <w:r w:rsidRPr="00093F16">
              <w:rPr>
                <w:rFonts w:ascii="Times New Roman" w:hAnsi="Times New Roman" w:cs="Times New Roman"/>
              </w:rPr>
              <w:t>Kweseltken</w:t>
            </w:r>
          </w:p>
        </w:tc>
        <w:tc>
          <w:tcPr>
            <w:tcW w:w="6095" w:type="dxa"/>
          </w:tcPr>
          <w:p w14:paraId="4056CD1E" w14:textId="4AA1BB82" w:rsidR="00596005" w:rsidRPr="00093F16" w:rsidRDefault="00596005" w:rsidP="002712D4">
            <w:pPr>
              <w:rPr>
                <w:rFonts w:ascii="Times New Roman" w:hAnsi="Times New Roman" w:cs="Times New Roman"/>
              </w:rPr>
            </w:pPr>
            <w:r w:rsidRPr="00093F16">
              <w:rPr>
                <w:rFonts w:ascii="Times New Roman" w:hAnsi="Times New Roman" w:cs="Times New Roman"/>
              </w:rPr>
              <w:t>Family group or head of family group</w:t>
            </w:r>
          </w:p>
        </w:tc>
      </w:tr>
      <w:tr w:rsidR="00596005" w:rsidRPr="00093F16" w14:paraId="6C97E120" w14:textId="77777777" w:rsidTr="00B11D26">
        <w:tc>
          <w:tcPr>
            <w:tcW w:w="3256" w:type="dxa"/>
          </w:tcPr>
          <w:p w14:paraId="3851D3B4" w14:textId="2F37A106" w:rsidR="00596005" w:rsidRPr="00093F16" w:rsidRDefault="001F1ED2" w:rsidP="002712D4">
            <w:pPr>
              <w:rPr>
                <w:rFonts w:ascii="Times New Roman" w:hAnsi="Times New Roman" w:cs="Times New Roman"/>
              </w:rPr>
            </w:pPr>
            <w:r w:rsidRPr="00093F16">
              <w:rPr>
                <w:rFonts w:ascii="Times New Roman" w:hAnsi="Times New Roman" w:cs="Times New Roman"/>
              </w:rPr>
              <w:t>Y</w:t>
            </w:r>
            <w:r w:rsidR="00596005" w:rsidRPr="00093F16">
              <w:rPr>
                <w:rFonts w:ascii="Times New Roman" w:hAnsi="Times New Roman" w:cs="Times New Roman"/>
              </w:rPr>
              <w:t xml:space="preserve">ecwemínmen </w:t>
            </w:r>
          </w:p>
        </w:tc>
        <w:tc>
          <w:tcPr>
            <w:tcW w:w="6095" w:type="dxa"/>
          </w:tcPr>
          <w:p w14:paraId="36336434" w14:textId="68C2675C" w:rsidR="00596005" w:rsidRPr="00093F16" w:rsidRDefault="00596005" w:rsidP="002712D4">
            <w:pPr>
              <w:rPr>
                <w:rFonts w:ascii="Times New Roman" w:hAnsi="Times New Roman" w:cs="Times New Roman"/>
              </w:rPr>
            </w:pPr>
            <w:r w:rsidRPr="00093F16">
              <w:rPr>
                <w:rFonts w:ascii="Times New Roman" w:hAnsi="Times New Roman" w:cs="Times New Roman"/>
              </w:rPr>
              <w:t>guardians of the land</w:t>
            </w:r>
          </w:p>
        </w:tc>
      </w:tr>
      <w:tr w:rsidR="00E06C16" w:rsidRPr="00093F16" w14:paraId="40B524F1" w14:textId="77777777" w:rsidTr="00B11D26">
        <w:tc>
          <w:tcPr>
            <w:tcW w:w="3256" w:type="dxa"/>
          </w:tcPr>
          <w:p w14:paraId="202E2E7A" w14:textId="62BBE062" w:rsidR="00E06C16" w:rsidRPr="00093F16" w:rsidRDefault="00E06C16" w:rsidP="00E06C16">
            <w:pPr>
              <w:rPr>
                <w:rFonts w:ascii="Times New Roman" w:hAnsi="Times New Roman" w:cs="Times New Roman"/>
              </w:rPr>
            </w:pPr>
            <w:r w:rsidRPr="00093F16">
              <w:rPr>
                <w:rFonts w:ascii="Times New Roman" w:hAnsi="Times New Roman" w:cs="Times New Roman"/>
                <w:lang w:val="en-US"/>
              </w:rPr>
              <w:t xml:space="preserve">Kúkwpi7 </w:t>
            </w:r>
          </w:p>
        </w:tc>
        <w:tc>
          <w:tcPr>
            <w:tcW w:w="6095" w:type="dxa"/>
          </w:tcPr>
          <w:p w14:paraId="26B9CB33" w14:textId="34506C52" w:rsidR="00E06C16" w:rsidRPr="00093F16" w:rsidRDefault="00E06C16" w:rsidP="00E06C16">
            <w:pPr>
              <w:rPr>
                <w:rFonts w:ascii="Times New Roman" w:hAnsi="Times New Roman" w:cs="Times New Roman"/>
              </w:rPr>
            </w:pPr>
            <w:r w:rsidRPr="00093F16">
              <w:rPr>
                <w:rFonts w:ascii="Times New Roman" w:hAnsi="Times New Roman" w:cs="Times New Roman"/>
              </w:rPr>
              <w:t>Chief</w:t>
            </w:r>
          </w:p>
        </w:tc>
      </w:tr>
      <w:tr w:rsidR="00E06C16" w:rsidRPr="00093F16" w14:paraId="420980C6" w14:textId="77777777" w:rsidTr="00B11D26">
        <w:tc>
          <w:tcPr>
            <w:tcW w:w="3256" w:type="dxa"/>
          </w:tcPr>
          <w:p w14:paraId="7AF4BC55" w14:textId="5C9BEA6A" w:rsidR="00E06C16" w:rsidRPr="00093F16" w:rsidRDefault="00E06C16" w:rsidP="00E06C16">
            <w:pPr>
              <w:rPr>
                <w:rFonts w:ascii="Times New Roman" w:hAnsi="Times New Roman" w:cs="Times New Roman"/>
              </w:rPr>
            </w:pPr>
            <w:r w:rsidRPr="00093F16">
              <w:rPr>
                <w:rFonts w:ascii="Times New Roman" w:hAnsi="Times New Roman" w:cs="Times New Roman"/>
                <w:lang w:val="en-US"/>
              </w:rPr>
              <w:t xml:space="preserve">Tk’wenem7i’ple7 </w:t>
            </w:r>
          </w:p>
        </w:tc>
        <w:tc>
          <w:tcPr>
            <w:tcW w:w="6095" w:type="dxa"/>
          </w:tcPr>
          <w:p w14:paraId="19EA0689" w14:textId="6CB208A9" w:rsidR="00E06C16" w:rsidRPr="00093F16" w:rsidRDefault="00E06C16" w:rsidP="00E06C16">
            <w:pPr>
              <w:rPr>
                <w:rFonts w:ascii="Times New Roman" w:hAnsi="Times New Roman" w:cs="Times New Roman"/>
              </w:rPr>
            </w:pPr>
            <w:r w:rsidRPr="00093F16">
              <w:rPr>
                <w:rFonts w:ascii="Times New Roman" w:hAnsi="Times New Roman" w:cs="Times New Roman"/>
              </w:rPr>
              <w:t>Council</w:t>
            </w:r>
          </w:p>
        </w:tc>
      </w:tr>
    </w:tbl>
    <w:p w14:paraId="0899DC69" w14:textId="1045ED87" w:rsidR="005277FD" w:rsidRPr="00931288" w:rsidRDefault="00931288" w:rsidP="005277FD">
      <w:pPr>
        <w:pStyle w:val="Caption"/>
        <w:rPr>
          <w:rFonts w:ascii="Times New Roman" w:hAnsi="Times New Roman" w:cs="Times New Roman"/>
          <w:i w:val="0"/>
          <w:iCs w:val="0"/>
          <w:color w:val="auto"/>
          <w:sz w:val="24"/>
          <w:szCs w:val="24"/>
        </w:rPr>
      </w:pPr>
      <w:r w:rsidRPr="00931288">
        <w:rPr>
          <w:rFonts w:ascii="Times New Roman" w:hAnsi="Times New Roman" w:cs="Times New Roman"/>
          <w:color w:val="auto"/>
          <w:sz w:val="24"/>
          <w:szCs w:val="24"/>
        </w:rPr>
        <w:t>Note</w:t>
      </w:r>
      <w:r>
        <w:rPr>
          <w:rFonts w:ascii="Times New Roman" w:hAnsi="Times New Roman" w:cs="Times New Roman"/>
          <w:i w:val="0"/>
          <w:iCs w:val="0"/>
          <w:color w:val="auto"/>
          <w:sz w:val="24"/>
          <w:szCs w:val="24"/>
        </w:rPr>
        <w:t xml:space="preserve">: </w:t>
      </w:r>
      <w:r w:rsidRPr="00093F16">
        <w:rPr>
          <w:rFonts w:ascii="Times New Roman" w:hAnsi="Times New Roman" w:cs="Times New Roman"/>
          <w:i w:val="0"/>
          <w:iCs w:val="0"/>
          <w:color w:val="auto"/>
          <w:sz w:val="24"/>
          <w:szCs w:val="24"/>
        </w:rPr>
        <w:t xml:space="preserve">Key Secwepemctsín terms used throughout this work. </w:t>
      </w:r>
      <w:r>
        <w:rPr>
          <w:rFonts w:ascii="Times New Roman" w:hAnsi="Times New Roman" w:cs="Times New Roman"/>
          <w:i w:val="0"/>
          <w:iCs w:val="0"/>
          <w:color w:val="auto"/>
          <w:sz w:val="24"/>
          <w:szCs w:val="24"/>
        </w:rPr>
        <w:t>Key terms</w:t>
      </w:r>
      <w:r w:rsidR="005277FD" w:rsidRPr="00093F16">
        <w:rPr>
          <w:rFonts w:ascii="Times New Roman" w:hAnsi="Times New Roman" w:cs="Times New Roman"/>
          <w:i w:val="0"/>
          <w:iCs w:val="0"/>
          <w:color w:val="auto"/>
          <w:sz w:val="24"/>
          <w:szCs w:val="24"/>
        </w:rPr>
        <w:t xml:space="preserve"> d</w:t>
      </w:r>
      <w:r w:rsidR="00A542F5" w:rsidRPr="00093F16">
        <w:rPr>
          <w:rFonts w:ascii="Times New Roman" w:hAnsi="Times New Roman" w:cs="Times New Roman"/>
          <w:i w:val="0"/>
          <w:iCs w:val="0"/>
          <w:color w:val="auto"/>
          <w:sz w:val="24"/>
          <w:szCs w:val="24"/>
        </w:rPr>
        <w:t>erived from</w:t>
      </w:r>
      <w:r w:rsidR="0054384F">
        <w:rPr>
          <w:rFonts w:ascii="Times New Roman" w:hAnsi="Times New Roman" w:cs="Times New Roman"/>
          <w:i w:val="0"/>
          <w:iCs w:val="0"/>
          <w:color w:val="auto"/>
          <w:sz w:val="24"/>
          <w:szCs w:val="24"/>
        </w:rPr>
        <w:t xml:space="preserve"> </w:t>
      </w:r>
      <w:r w:rsidR="0054384F">
        <w:rPr>
          <w:rFonts w:ascii="Times New Roman" w:hAnsi="Times New Roman" w:cs="Times New Roman"/>
          <w:i w:val="0"/>
          <w:iCs w:val="0"/>
          <w:color w:val="auto"/>
          <w:sz w:val="24"/>
          <w:szCs w:val="24"/>
        </w:rPr>
        <w:fldChar w:fldCharType="begin"/>
      </w:r>
      <w:r w:rsidR="00DE4898">
        <w:rPr>
          <w:rFonts w:ascii="Times New Roman" w:hAnsi="Times New Roman" w:cs="Times New Roman"/>
          <w:i w:val="0"/>
          <w:iCs w:val="0"/>
          <w:color w:val="auto"/>
          <w:sz w:val="24"/>
          <w:szCs w:val="24"/>
        </w:rPr>
        <w:instrText xml:space="preserve"> ADDIN ZOTERO_ITEM CSL_CITATION {"citationID":"96fM55hN","properties":{"formattedCitation":"(Simpcwc First Nation, 2012, 2023)","plainCitation":"(Simpcwc First Nation, 2012, 2023)","noteIndex":0},"citationItems":[{"id":1743,"uris":["http://zotero.org/users/7094349/items/DPIQDLIS"],"itemData":{"id":1743,"type":"report","title":"Traditional Land Use &amp; Ecological Knowledge Study: Public Version","URL":"https://iaac-aeic.gc.ca/050/documents/p61898/100972E.pdf","author":[{"family":"Simpcwc First Nation","given":""}],"issued":{"date-parts":[["2012",8]]}}},{"id":1744,"uris":["http://zotero.org/users/7094349/items/QCCYFPP7"],"itemData":{"id":1744,"type":"report","abstract":"The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perspective","publisher":"SFN","title":"Simpcw Interim Stewardship Plan","title-short":"The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perspective","URL":"https://www.simpcw.com › docs › 2023-09-05_si...","author":[{"family":"Simpcwc First Nation","given":""}],"issued":{"date-parts":[["2023",9,5]]}}}],"schema":"https://github.com/citation-style-language/schema/raw/master/csl-citation.json"} </w:instrText>
      </w:r>
      <w:r w:rsidR="0054384F">
        <w:rPr>
          <w:rFonts w:ascii="Times New Roman" w:hAnsi="Times New Roman" w:cs="Times New Roman"/>
          <w:i w:val="0"/>
          <w:iCs w:val="0"/>
          <w:color w:val="auto"/>
          <w:sz w:val="24"/>
          <w:szCs w:val="24"/>
        </w:rPr>
        <w:fldChar w:fldCharType="separate"/>
      </w:r>
      <w:r w:rsidR="00DE4898">
        <w:rPr>
          <w:rFonts w:ascii="Times New Roman" w:hAnsi="Times New Roman" w:cs="Times New Roman"/>
          <w:i w:val="0"/>
          <w:iCs w:val="0"/>
          <w:noProof/>
          <w:color w:val="auto"/>
          <w:sz w:val="24"/>
          <w:szCs w:val="24"/>
        </w:rPr>
        <w:t>(Simpcwc First Nation, 2012, 2023)</w:t>
      </w:r>
      <w:r w:rsidR="0054384F">
        <w:rPr>
          <w:rFonts w:ascii="Times New Roman" w:hAnsi="Times New Roman" w:cs="Times New Roman"/>
          <w:i w:val="0"/>
          <w:iCs w:val="0"/>
          <w:color w:val="auto"/>
          <w:sz w:val="24"/>
          <w:szCs w:val="24"/>
        </w:rPr>
        <w:fldChar w:fldCharType="end"/>
      </w:r>
    </w:p>
    <w:p w14:paraId="79FB2525" w14:textId="77777777" w:rsidR="00093F16" w:rsidRPr="005D4A4C" w:rsidRDefault="00093F16">
      <w:pPr>
        <w:rPr>
          <w:rFonts w:ascii="Times New Roman" w:hAnsi="Times New Roman" w:cs="Times New Roman"/>
        </w:rPr>
      </w:pPr>
      <w:r w:rsidRPr="005D4A4C">
        <w:rPr>
          <w:rFonts w:ascii="Times New Roman" w:hAnsi="Times New Roman" w:cs="Times New Roman"/>
        </w:rPr>
        <w:br w:type="page"/>
      </w:r>
    </w:p>
    <w:p w14:paraId="6DC7D5F9" w14:textId="2E7FDAD7" w:rsidR="00653B8F" w:rsidRPr="005D4A4C" w:rsidRDefault="00410665" w:rsidP="002B367F">
      <w:pPr>
        <w:rPr>
          <w:rFonts w:ascii="Times New Roman" w:hAnsi="Times New Roman" w:cs="Times New Roman"/>
        </w:rPr>
      </w:pPr>
      <w:r w:rsidRPr="005D4A4C">
        <w:rPr>
          <w:rFonts w:ascii="Times New Roman" w:hAnsi="Times New Roman" w:cs="Times New Roman"/>
        </w:rPr>
        <w:lastRenderedPageBreak/>
        <w:t xml:space="preserve">Positionality Statement: </w:t>
      </w:r>
    </w:p>
    <w:p w14:paraId="14B768B8" w14:textId="398A2D14" w:rsidR="009508D0" w:rsidRPr="005D4A4C" w:rsidRDefault="00653B8F" w:rsidP="002B367F">
      <w:pPr>
        <w:rPr>
          <w:rFonts w:ascii="Times New Roman" w:hAnsi="Times New Roman" w:cs="Times New Roman"/>
        </w:rPr>
      </w:pPr>
      <w:r w:rsidRPr="005D4A4C">
        <w:rPr>
          <w:rFonts w:ascii="Times New Roman" w:hAnsi="Times New Roman" w:cs="Times New Roman"/>
        </w:rPr>
        <w:t>My name is Christian Carson.</w:t>
      </w:r>
      <w:r w:rsidR="007D4E33" w:rsidRPr="005D4A4C">
        <w:rPr>
          <w:rFonts w:ascii="Times New Roman" w:hAnsi="Times New Roman" w:cs="Times New Roman"/>
        </w:rPr>
        <w:t xml:space="preserve"> I am a </w:t>
      </w:r>
      <w:r w:rsidR="008B0FF7" w:rsidRPr="005D4A4C">
        <w:rPr>
          <w:rFonts w:ascii="Times New Roman" w:hAnsi="Times New Roman" w:cs="Times New Roman"/>
        </w:rPr>
        <w:t xml:space="preserve">male, cis-gendered, </w:t>
      </w:r>
      <w:r w:rsidR="007D4E33" w:rsidRPr="005D4A4C">
        <w:rPr>
          <w:rFonts w:ascii="Times New Roman" w:hAnsi="Times New Roman" w:cs="Times New Roman"/>
        </w:rPr>
        <w:t xml:space="preserve">white settler </w:t>
      </w:r>
      <w:r w:rsidR="008B0FF7" w:rsidRPr="005D4A4C">
        <w:rPr>
          <w:rFonts w:ascii="Times New Roman" w:hAnsi="Times New Roman" w:cs="Times New Roman"/>
        </w:rPr>
        <w:t>who grew up on</w:t>
      </w:r>
      <w:r w:rsidR="007D4E33" w:rsidRPr="005D4A4C">
        <w:rPr>
          <w:rFonts w:ascii="Times New Roman" w:hAnsi="Times New Roman" w:cs="Times New Roman"/>
        </w:rPr>
        <w:t xml:space="preserve"> the stolen lands of the Timpanogos, Newe Sogobia (Eastern Shoshone), </w:t>
      </w:r>
      <w:r w:rsidR="002A0EB8" w:rsidRPr="005D4A4C">
        <w:rPr>
          <w:rFonts w:ascii="Times New Roman" w:hAnsi="Times New Roman" w:cs="Times New Roman"/>
        </w:rPr>
        <w:t xml:space="preserve">and </w:t>
      </w:r>
      <w:r w:rsidR="007D4E33" w:rsidRPr="005D4A4C">
        <w:rPr>
          <w:rFonts w:ascii="Times New Roman" w:hAnsi="Times New Roman" w:cs="Times New Roman"/>
        </w:rPr>
        <w:t>Núu-agha-tʉvʉ-pʉ̱ (Ute)</w:t>
      </w:r>
      <w:r w:rsidR="002A0EB8" w:rsidRPr="005D4A4C">
        <w:rPr>
          <w:rFonts w:ascii="Times New Roman" w:hAnsi="Times New Roman" w:cs="Times New Roman"/>
        </w:rPr>
        <w:t>,</w:t>
      </w:r>
      <w:r w:rsidR="007D4E33" w:rsidRPr="005D4A4C">
        <w:rPr>
          <w:rFonts w:ascii="Times New Roman" w:hAnsi="Times New Roman" w:cs="Times New Roman"/>
        </w:rPr>
        <w:t xml:space="preserve"> in so-called Utah. </w:t>
      </w:r>
      <w:r w:rsidR="002B126D" w:rsidRPr="005D4A4C">
        <w:rPr>
          <w:rFonts w:ascii="Times New Roman" w:hAnsi="Times New Roman" w:cs="Times New Roman"/>
        </w:rPr>
        <w:t xml:space="preserve">I </w:t>
      </w:r>
      <w:r w:rsidR="007D4E33" w:rsidRPr="005D4A4C">
        <w:rPr>
          <w:rFonts w:ascii="Times New Roman" w:hAnsi="Times New Roman" w:cs="Times New Roman"/>
        </w:rPr>
        <w:t>was born into</w:t>
      </w:r>
      <w:r w:rsidR="002B126D" w:rsidRPr="005D4A4C">
        <w:rPr>
          <w:rFonts w:ascii="Times New Roman" w:hAnsi="Times New Roman" w:cs="Times New Roman"/>
        </w:rPr>
        <w:t xml:space="preserve"> a Western worldview, and as such, I </w:t>
      </w:r>
      <w:r w:rsidR="006C39D2" w:rsidRPr="005D4A4C">
        <w:rPr>
          <w:rFonts w:ascii="Times New Roman" w:hAnsi="Times New Roman" w:cs="Times New Roman"/>
        </w:rPr>
        <w:t xml:space="preserve">am </w:t>
      </w:r>
      <w:r w:rsidR="008B0FF7" w:rsidRPr="005D4A4C">
        <w:rPr>
          <w:rFonts w:ascii="Times New Roman" w:hAnsi="Times New Roman" w:cs="Times New Roman"/>
        </w:rPr>
        <w:t>biase</w:t>
      </w:r>
      <w:r w:rsidR="006C39D2" w:rsidRPr="005D4A4C">
        <w:rPr>
          <w:rFonts w:ascii="Times New Roman" w:hAnsi="Times New Roman" w:cs="Times New Roman"/>
        </w:rPr>
        <w:t>d</w:t>
      </w:r>
      <w:r w:rsidR="008B0FF7" w:rsidRPr="005D4A4C">
        <w:rPr>
          <w:rFonts w:ascii="Times New Roman" w:hAnsi="Times New Roman" w:cs="Times New Roman"/>
        </w:rPr>
        <w:t xml:space="preserve"> </w:t>
      </w:r>
      <w:r w:rsidR="007D4E33" w:rsidRPr="005D4A4C">
        <w:rPr>
          <w:rFonts w:ascii="Times New Roman" w:hAnsi="Times New Roman" w:cs="Times New Roman"/>
        </w:rPr>
        <w:t>to</w:t>
      </w:r>
      <w:r w:rsidR="008B0FF7" w:rsidRPr="005D4A4C">
        <w:rPr>
          <w:rFonts w:ascii="Times New Roman" w:hAnsi="Times New Roman" w:cs="Times New Roman"/>
        </w:rPr>
        <w:t>ward Western-produced knowledge over other ways of knowing</w:t>
      </w:r>
      <w:r w:rsidR="007D4E33" w:rsidRPr="005D4A4C">
        <w:rPr>
          <w:rFonts w:ascii="Times New Roman" w:hAnsi="Times New Roman" w:cs="Times New Roman"/>
        </w:rPr>
        <w:t xml:space="preserve">. </w:t>
      </w:r>
      <w:r w:rsidR="008F520E" w:rsidRPr="005D4A4C">
        <w:rPr>
          <w:rFonts w:ascii="Times New Roman" w:hAnsi="Times New Roman" w:cs="Times New Roman"/>
        </w:rPr>
        <w:t>My master’s thesis</w:t>
      </w:r>
      <w:r w:rsidR="00B777FB" w:rsidRPr="005D4A4C">
        <w:rPr>
          <w:rFonts w:ascii="Times New Roman" w:hAnsi="Times New Roman" w:cs="Times New Roman"/>
        </w:rPr>
        <w:t xml:space="preserve">, which comes from the </w:t>
      </w:r>
      <w:r w:rsidR="00C73B35" w:rsidRPr="005D4A4C">
        <w:rPr>
          <w:rFonts w:ascii="Times New Roman" w:hAnsi="Times New Roman" w:cs="Times New Roman"/>
        </w:rPr>
        <w:t xml:space="preserve">lenses </w:t>
      </w:r>
      <w:r w:rsidR="00B777FB" w:rsidRPr="005D4A4C">
        <w:rPr>
          <w:rFonts w:ascii="Times New Roman" w:hAnsi="Times New Roman" w:cs="Times New Roman"/>
        </w:rPr>
        <w:t xml:space="preserve">of Western science, </w:t>
      </w:r>
      <w:r w:rsidR="008F520E" w:rsidRPr="005D4A4C">
        <w:rPr>
          <w:rFonts w:ascii="Times New Roman" w:hAnsi="Times New Roman" w:cs="Times New Roman"/>
        </w:rPr>
        <w:t xml:space="preserve">aims to investigate the influence of headwater logging on downstream temperature changes relevant to Pacific salmon in the </w:t>
      </w:r>
      <w:r w:rsidR="001C1AF7" w:rsidRPr="005D4A4C">
        <w:rPr>
          <w:rFonts w:ascii="Times New Roman" w:hAnsi="Times New Roman" w:cs="Times New Roman"/>
        </w:rPr>
        <w:t xml:space="preserve">North </w:t>
      </w:r>
      <w:r w:rsidR="008F520E" w:rsidRPr="005D4A4C">
        <w:rPr>
          <w:rFonts w:ascii="Times New Roman" w:hAnsi="Times New Roman" w:cs="Times New Roman"/>
        </w:rPr>
        <w:t>Thompson River Watershed, the largest tributary of the Fraser River.</w:t>
      </w:r>
      <w:r w:rsidR="00270933" w:rsidRPr="005D4A4C">
        <w:rPr>
          <w:rFonts w:ascii="Times New Roman" w:hAnsi="Times New Roman" w:cs="Times New Roman"/>
        </w:rPr>
        <w:t xml:space="preserve"> The North Thompson is situated in the traditional and unceded territory of the Simpcw First Nation</w:t>
      </w:r>
      <w:r w:rsidR="00246592" w:rsidRPr="005D4A4C">
        <w:rPr>
          <w:rFonts w:ascii="Times New Roman" w:hAnsi="Times New Roman" w:cs="Times New Roman"/>
        </w:rPr>
        <w:t xml:space="preserve"> and the Simpcwemc peoples</w:t>
      </w:r>
      <w:r w:rsidR="00E54D8F" w:rsidRPr="005D4A4C">
        <w:rPr>
          <w:rFonts w:ascii="Times New Roman" w:hAnsi="Times New Roman" w:cs="Times New Roman"/>
        </w:rPr>
        <w:t xml:space="preserve">. </w:t>
      </w:r>
      <w:r w:rsidR="0031172E" w:rsidRPr="005D4A4C">
        <w:rPr>
          <w:rFonts w:ascii="Times New Roman" w:hAnsi="Times New Roman" w:cs="Times New Roman"/>
        </w:rPr>
        <w:t xml:space="preserve">In the </w:t>
      </w:r>
      <w:r w:rsidR="00270933" w:rsidRPr="005D4A4C">
        <w:rPr>
          <w:rFonts w:ascii="Times New Roman" w:hAnsi="Times New Roman" w:cs="Times New Roman"/>
        </w:rPr>
        <w:t>Simpcwemc</w:t>
      </w:r>
      <w:r w:rsidR="0031172E" w:rsidRPr="005D4A4C">
        <w:rPr>
          <w:rFonts w:ascii="Times New Roman" w:hAnsi="Times New Roman" w:cs="Times New Roman"/>
        </w:rPr>
        <w:t xml:space="preserve"> </w:t>
      </w:r>
      <w:r w:rsidR="00270933" w:rsidRPr="005D4A4C">
        <w:rPr>
          <w:rFonts w:ascii="Times New Roman" w:hAnsi="Times New Roman" w:cs="Times New Roman"/>
        </w:rPr>
        <w:t>language</w:t>
      </w:r>
      <w:r w:rsidR="008463C8" w:rsidRPr="005D4A4C">
        <w:rPr>
          <w:rFonts w:ascii="Times New Roman" w:hAnsi="Times New Roman" w:cs="Times New Roman"/>
        </w:rPr>
        <w:t>, Secwepemctsín</w:t>
      </w:r>
      <w:r w:rsidR="0031172E" w:rsidRPr="005D4A4C">
        <w:rPr>
          <w:rFonts w:ascii="Times New Roman" w:hAnsi="Times New Roman" w:cs="Times New Roman"/>
        </w:rPr>
        <w:t>, the North Thompson is named Simpcw7etkwe, or the river of the</w:t>
      </w:r>
      <w:r w:rsidR="00824B24" w:rsidRPr="005D4A4C">
        <w:rPr>
          <w:rFonts w:ascii="Times New Roman" w:hAnsi="Times New Roman" w:cs="Times New Roman"/>
        </w:rPr>
        <w:t xml:space="preserve"> </w:t>
      </w:r>
      <w:r w:rsidR="0031172E" w:rsidRPr="005D4A4C">
        <w:rPr>
          <w:rFonts w:ascii="Times New Roman" w:hAnsi="Times New Roman" w:cs="Times New Roman"/>
        </w:rPr>
        <w:t xml:space="preserve">Simpcwemc </w:t>
      </w:r>
      <w:r w:rsidR="00824B24" w:rsidRPr="005D4A4C">
        <w:rPr>
          <w:rFonts w:ascii="Times New Roman" w:hAnsi="Times New Roman" w:cs="Times New Roman"/>
        </w:rPr>
        <w:t>(</w:t>
      </w:r>
      <w:r w:rsidR="005A71D6">
        <w:rPr>
          <w:rFonts w:ascii="Times New Roman" w:hAnsi="Times New Roman" w:cs="Times New Roman"/>
        </w:rPr>
        <w:fldChar w:fldCharType="begin"/>
      </w:r>
      <w:r w:rsidR="005F3D60">
        <w:rPr>
          <w:rFonts w:ascii="Times New Roman" w:hAnsi="Times New Roman" w:cs="Times New Roman"/>
        </w:rPr>
        <w:instrText xml:space="preserve"> ADDIN ZOTERO_ITEM CSL_CITATION {"citationID":"4rpgiSFp","properties":{"formattedCitation":"(Simpcwc First Nation, 2012)","plainCitation":"(Simpcwc First Nation, 2012)","noteIndex":0},"citationItems":[{"id":1743,"uris":["http://zotero.org/users/7094349/items/DPIQDLIS"],"itemData":{"id":1743,"type":"report","title":"Traditional Land Use &amp; Ecological Knowledge Study: Public Version","URL":"https://iaac-aeic.gc.ca/050/documents/p61898/100972E.pdf","author":[{"family":"Simpcwc First Nation","given":""}],"issued":{"date-parts":[["2012",8]]}}}],"schema":"https://github.com/citation-style-language/schema/raw/master/csl-citation.json"} </w:instrText>
      </w:r>
      <w:r w:rsidR="005A71D6">
        <w:rPr>
          <w:rFonts w:ascii="Times New Roman" w:hAnsi="Times New Roman" w:cs="Times New Roman"/>
        </w:rPr>
        <w:fldChar w:fldCharType="separate"/>
      </w:r>
      <w:r w:rsidR="005F3D60">
        <w:rPr>
          <w:rFonts w:ascii="Times New Roman" w:hAnsi="Times New Roman" w:cs="Times New Roman"/>
          <w:noProof/>
        </w:rPr>
        <w:t>Simpcwc First Nation, 2012</w:t>
      </w:r>
      <w:r w:rsidR="00DE41D6">
        <w:rPr>
          <w:rFonts w:ascii="Times New Roman" w:hAnsi="Times New Roman" w:cs="Times New Roman"/>
          <w:noProof/>
        </w:rPr>
        <w:t>, Table 1</w:t>
      </w:r>
      <w:r w:rsidR="005F3D60">
        <w:rPr>
          <w:rFonts w:ascii="Times New Roman" w:hAnsi="Times New Roman" w:cs="Times New Roman"/>
          <w:noProof/>
        </w:rPr>
        <w:t>)</w:t>
      </w:r>
      <w:r w:rsidR="005A71D6">
        <w:rPr>
          <w:rFonts w:ascii="Times New Roman" w:hAnsi="Times New Roman" w:cs="Times New Roman"/>
        </w:rPr>
        <w:fldChar w:fldCharType="end"/>
      </w:r>
      <w:r w:rsidR="00270933" w:rsidRPr="005D4A4C">
        <w:rPr>
          <w:rFonts w:ascii="Times New Roman" w:hAnsi="Times New Roman" w:cs="Times New Roman"/>
        </w:rPr>
        <w:t xml:space="preserve">. </w:t>
      </w:r>
      <w:r w:rsidR="002B126D" w:rsidRPr="005D4A4C">
        <w:rPr>
          <w:rFonts w:ascii="Times New Roman" w:hAnsi="Times New Roman" w:cs="Times New Roman"/>
        </w:rPr>
        <w:t>I</w:t>
      </w:r>
      <w:r w:rsidR="00180FF0" w:rsidRPr="005D4A4C">
        <w:rPr>
          <w:rFonts w:ascii="Times New Roman" w:hAnsi="Times New Roman" w:cs="Times New Roman"/>
        </w:rPr>
        <w:t xml:space="preserve">n </w:t>
      </w:r>
      <w:r w:rsidR="002B367F" w:rsidRPr="005D4A4C">
        <w:rPr>
          <w:rFonts w:ascii="Times New Roman" w:hAnsi="Times New Roman" w:cs="Times New Roman"/>
        </w:rPr>
        <w:t>taking the first steps towards my thesis research</w:t>
      </w:r>
      <w:r w:rsidR="002B126D" w:rsidRPr="005D4A4C">
        <w:rPr>
          <w:rFonts w:ascii="Times New Roman" w:hAnsi="Times New Roman" w:cs="Times New Roman"/>
        </w:rPr>
        <w:t xml:space="preserve">, </w:t>
      </w:r>
      <w:r w:rsidR="00180FF0" w:rsidRPr="005D4A4C">
        <w:rPr>
          <w:rFonts w:ascii="Times New Roman" w:hAnsi="Times New Roman" w:cs="Times New Roman"/>
        </w:rPr>
        <w:t xml:space="preserve">I attempt </w:t>
      </w:r>
      <w:r w:rsidR="00134802" w:rsidRPr="005D4A4C">
        <w:rPr>
          <w:rFonts w:ascii="Times New Roman" w:hAnsi="Times New Roman" w:cs="Times New Roman"/>
        </w:rPr>
        <w:t>to characterize how the Simpcw First Nation structures their governance, establishes policy</w:t>
      </w:r>
      <w:r w:rsidR="00C73B35" w:rsidRPr="005D4A4C">
        <w:rPr>
          <w:rFonts w:ascii="Times New Roman" w:hAnsi="Times New Roman" w:cs="Times New Roman"/>
        </w:rPr>
        <w:t>,</w:t>
      </w:r>
      <w:r w:rsidR="00134802" w:rsidRPr="005D4A4C">
        <w:rPr>
          <w:rFonts w:ascii="Times New Roman" w:hAnsi="Times New Roman" w:cs="Times New Roman"/>
        </w:rPr>
        <w:t xml:space="preserve"> and exerts sovereignty over their landscape</w:t>
      </w:r>
      <w:r w:rsidR="00C73B35" w:rsidRPr="005D4A4C">
        <w:rPr>
          <w:rFonts w:ascii="Times New Roman" w:hAnsi="Times New Roman" w:cs="Times New Roman"/>
        </w:rPr>
        <w:t>, specifically</w:t>
      </w:r>
      <w:r w:rsidR="00134802" w:rsidRPr="005D4A4C">
        <w:rPr>
          <w:rFonts w:ascii="Times New Roman" w:hAnsi="Times New Roman" w:cs="Times New Roman"/>
        </w:rPr>
        <w:t xml:space="preserve"> in </w:t>
      </w:r>
      <w:r w:rsidR="00375CDA" w:rsidRPr="005D4A4C">
        <w:rPr>
          <w:rFonts w:ascii="Times New Roman" w:hAnsi="Times New Roman" w:cs="Times New Roman"/>
        </w:rPr>
        <w:t>managing</w:t>
      </w:r>
      <w:r w:rsidR="00207778" w:rsidRPr="005D4A4C">
        <w:rPr>
          <w:rFonts w:ascii="Times New Roman" w:hAnsi="Times New Roman" w:cs="Times New Roman"/>
        </w:rPr>
        <w:t xml:space="preserve"> </w:t>
      </w:r>
      <w:r w:rsidR="00375CDA" w:rsidRPr="005D4A4C">
        <w:rPr>
          <w:rFonts w:ascii="Times New Roman" w:hAnsi="Times New Roman" w:cs="Times New Roman"/>
        </w:rPr>
        <w:t>the</w:t>
      </w:r>
      <w:r w:rsidR="00134802" w:rsidRPr="005D4A4C">
        <w:rPr>
          <w:rFonts w:ascii="Times New Roman" w:hAnsi="Times New Roman" w:cs="Times New Roman"/>
        </w:rPr>
        <w:t xml:space="preserve"> natural resources</w:t>
      </w:r>
      <w:r w:rsidR="000F52FD" w:rsidRPr="005D4A4C">
        <w:rPr>
          <w:rFonts w:ascii="Times New Roman" w:hAnsi="Times New Roman" w:cs="Times New Roman"/>
        </w:rPr>
        <w:t xml:space="preserve"> </w:t>
      </w:r>
      <w:r w:rsidR="00375CDA" w:rsidRPr="005D4A4C">
        <w:rPr>
          <w:rFonts w:ascii="Times New Roman" w:hAnsi="Times New Roman" w:cs="Times New Roman"/>
        </w:rPr>
        <w:t>of</w:t>
      </w:r>
      <w:r w:rsidR="000F52FD" w:rsidRPr="005D4A4C">
        <w:rPr>
          <w:rFonts w:ascii="Times New Roman" w:hAnsi="Times New Roman" w:cs="Times New Roman"/>
        </w:rPr>
        <w:t xml:space="preserve"> the</w:t>
      </w:r>
      <w:r w:rsidR="00DC0A04" w:rsidRPr="005D4A4C">
        <w:rPr>
          <w:rFonts w:ascii="Times New Roman" w:hAnsi="Times New Roman" w:cs="Times New Roman"/>
        </w:rPr>
        <w:t xml:space="preserve"> Simpcw7etkwe</w:t>
      </w:r>
      <w:r w:rsidR="00134802" w:rsidRPr="005D4A4C">
        <w:rPr>
          <w:rFonts w:ascii="Times New Roman" w:hAnsi="Times New Roman" w:cs="Times New Roman"/>
        </w:rPr>
        <w:t xml:space="preserve">. </w:t>
      </w:r>
      <w:r w:rsidR="009606E8" w:rsidRPr="005D4A4C">
        <w:rPr>
          <w:rFonts w:ascii="Times New Roman" w:hAnsi="Times New Roman" w:cs="Times New Roman"/>
        </w:rPr>
        <w:t>No</w:t>
      </w:r>
      <w:r w:rsidR="00134802" w:rsidRPr="005D4A4C">
        <w:rPr>
          <w:rFonts w:ascii="Times New Roman" w:hAnsi="Times New Roman" w:cs="Times New Roman"/>
        </w:rPr>
        <w:t xml:space="preserve">tably, no </w:t>
      </w:r>
      <w:r w:rsidR="009606E8" w:rsidRPr="005D4A4C">
        <w:rPr>
          <w:rFonts w:ascii="Times New Roman" w:hAnsi="Times New Roman" w:cs="Times New Roman"/>
        </w:rPr>
        <w:t xml:space="preserve">external </w:t>
      </w:r>
      <w:r w:rsidR="004A19C3" w:rsidRPr="005D4A4C">
        <w:rPr>
          <w:rFonts w:ascii="Times New Roman" w:hAnsi="Times New Roman" w:cs="Times New Roman"/>
        </w:rPr>
        <w:t xml:space="preserve">characterization of the Simpcw </w:t>
      </w:r>
      <w:r w:rsidR="00B777FB" w:rsidRPr="005D4A4C">
        <w:rPr>
          <w:rFonts w:ascii="Times New Roman" w:hAnsi="Times New Roman" w:cs="Times New Roman"/>
        </w:rPr>
        <w:t xml:space="preserve">First </w:t>
      </w:r>
      <w:r w:rsidR="004A19C3" w:rsidRPr="005D4A4C">
        <w:rPr>
          <w:rFonts w:ascii="Times New Roman" w:hAnsi="Times New Roman" w:cs="Times New Roman"/>
        </w:rPr>
        <w:t>Nation</w:t>
      </w:r>
      <w:r w:rsidR="00B777FB" w:rsidRPr="005D4A4C">
        <w:rPr>
          <w:rFonts w:ascii="Times New Roman" w:hAnsi="Times New Roman" w:cs="Times New Roman"/>
        </w:rPr>
        <w:t xml:space="preserve">’s governance </w:t>
      </w:r>
      <w:r w:rsidR="00C73B35" w:rsidRPr="005D4A4C">
        <w:rPr>
          <w:rFonts w:ascii="Times New Roman" w:hAnsi="Times New Roman" w:cs="Times New Roman"/>
        </w:rPr>
        <w:t>structure, policies,</w:t>
      </w:r>
      <w:r w:rsidR="006B2AF3" w:rsidRPr="005D4A4C">
        <w:rPr>
          <w:rFonts w:ascii="Times New Roman" w:hAnsi="Times New Roman" w:cs="Times New Roman"/>
        </w:rPr>
        <w:t xml:space="preserve"> </w:t>
      </w:r>
      <w:r w:rsidR="00AF2497" w:rsidRPr="005D4A4C">
        <w:rPr>
          <w:rFonts w:ascii="Times New Roman" w:hAnsi="Times New Roman" w:cs="Times New Roman"/>
        </w:rPr>
        <w:t>sovereignty,</w:t>
      </w:r>
      <w:r w:rsidR="006B2AF3" w:rsidRPr="005D4A4C">
        <w:rPr>
          <w:rFonts w:ascii="Times New Roman" w:hAnsi="Times New Roman" w:cs="Times New Roman"/>
        </w:rPr>
        <w:t xml:space="preserve"> </w:t>
      </w:r>
      <w:r w:rsidR="009606E8" w:rsidRPr="005D4A4C">
        <w:rPr>
          <w:rFonts w:ascii="Times New Roman" w:hAnsi="Times New Roman" w:cs="Times New Roman"/>
        </w:rPr>
        <w:t xml:space="preserve">and </w:t>
      </w:r>
      <w:r w:rsidR="00C73B35" w:rsidRPr="005D4A4C">
        <w:rPr>
          <w:rFonts w:ascii="Times New Roman" w:hAnsi="Times New Roman" w:cs="Times New Roman"/>
        </w:rPr>
        <w:t xml:space="preserve">the </w:t>
      </w:r>
      <w:r w:rsidR="00C85453" w:rsidRPr="005D4A4C">
        <w:rPr>
          <w:rFonts w:ascii="Times New Roman" w:hAnsi="Times New Roman" w:cs="Times New Roman"/>
        </w:rPr>
        <w:t xml:space="preserve">Simpcwemc </w:t>
      </w:r>
      <w:r w:rsidR="00C73B35" w:rsidRPr="005D4A4C">
        <w:rPr>
          <w:rFonts w:ascii="Times New Roman" w:hAnsi="Times New Roman" w:cs="Times New Roman"/>
        </w:rPr>
        <w:t>worldviews that underlie</w:t>
      </w:r>
      <w:r w:rsidR="006B2AF3" w:rsidRPr="005D4A4C">
        <w:rPr>
          <w:rFonts w:ascii="Times New Roman" w:hAnsi="Times New Roman" w:cs="Times New Roman"/>
        </w:rPr>
        <w:t xml:space="preserve"> them would adequately</w:t>
      </w:r>
      <w:r w:rsidR="009606E8" w:rsidRPr="005D4A4C">
        <w:rPr>
          <w:rFonts w:ascii="Times New Roman" w:hAnsi="Times New Roman" w:cs="Times New Roman"/>
        </w:rPr>
        <w:t xml:space="preserve"> define them, as </w:t>
      </w:r>
      <w:r w:rsidR="00B777FB" w:rsidRPr="005D4A4C">
        <w:rPr>
          <w:rFonts w:ascii="Times New Roman" w:hAnsi="Times New Roman" w:cs="Times New Roman"/>
        </w:rPr>
        <w:t>the</w:t>
      </w:r>
      <w:r w:rsidR="006B2AF3" w:rsidRPr="005D4A4C">
        <w:rPr>
          <w:rFonts w:ascii="Times New Roman" w:hAnsi="Times New Roman" w:cs="Times New Roman"/>
        </w:rPr>
        <w:t xml:space="preserve">se are best </w:t>
      </w:r>
      <w:r w:rsidR="009606E8" w:rsidRPr="005D4A4C">
        <w:rPr>
          <w:rFonts w:ascii="Times New Roman" w:hAnsi="Times New Roman" w:cs="Times New Roman"/>
        </w:rPr>
        <w:t>de</w:t>
      </w:r>
      <w:r w:rsidR="002B367F" w:rsidRPr="005D4A4C">
        <w:rPr>
          <w:rFonts w:ascii="Times New Roman" w:hAnsi="Times New Roman" w:cs="Times New Roman"/>
        </w:rPr>
        <w:t>scrib</w:t>
      </w:r>
      <w:r w:rsidR="009606E8" w:rsidRPr="005D4A4C">
        <w:rPr>
          <w:rFonts w:ascii="Times New Roman" w:hAnsi="Times New Roman" w:cs="Times New Roman"/>
        </w:rPr>
        <w:t xml:space="preserve">ed in </w:t>
      </w:r>
      <w:r w:rsidR="006B2AF3" w:rsidRPr="005D4A4C">
        <w:rPr>
          <w:rFonts w:ascii="Times New Roman" w:hAnsi="Times New Roman" w:cs="Times New Roman"/>
        </w:rPr>
        <w:t>the</w:t>
      </w:r>
      <w:r w:rsidR="009606E8" w:rsidRPr="005D4A4C">
        <w:rPr>
          <w:rFonts w:ascii="Times New Roman" w:hAnsi="Times New Roman" w:cs="Times New Roman"/>
        </w:rPr>
        <w:t xml:space="preserve"> terms</w:t>
      </w:r>
      <w:r w:rsidR="006B2AF3" w:rsidRPr="005D4A4C">
        <w:rPr>
          <w:rFonts w:ascii="Times New Roman" w:hAnsi="Times New Roman" w:cs="Times New Roman"/>
        </w:rPr>
        <w:t xml:space="preserve"> of the Simpcwemc</w:t>
      </w:r>
      <w:r w:rsidR="009606E8" w:rsidRPr="005D4A4C">
        <w:rPr>
          <w:rFonts w:ascii="Times New Roman" w:hAnsi="Times New Roman" w:cs="Times New Roman"/>
        </w:rPr>
        <w:t xml:space="preserve">. As such, I acknowledge that my approach will be flawed, as it </w:t>
      </w:r>
      <w:r w:rsidR="00B777FB" w:rsidRPr="005D4A4C">
        <w:rPr>
          <w:rFonts w:ascii="Times New Roman" w:hAnsi="Times New Roman" w:cs="Times New Roman"/>
        </w:rPr>
        <w:t>is both external</w:t>
      </w:r>
      <w:r w:rsidR="00D43083" w:rsidRPr="005D4A4C">
        <w:rPr>
          <w:rFonts w:ascii="Times New Roman" w:hAnsi="Times New Roman" w:cs="Times New Roman"/>
        </w:rPr>
        <w:t xml:space="preserve"> and comes with entrenched Western perspectives that differ significantly from indigenous ways of knowing</w:t>
      </w:r>
      <w:r w:rsidR="00895E93" w:rsidRPr="005D4A4C">
        <w:rPr>
          <w:rFonts w:ascii="Times New Roman" w:hAnsi="Times New Roman" w:cs="Times New Roman"/>
        </w:rPr>
        <w:t>, limiting</w:t>
      </w:r>
      <w:r w:rsidR="001D5BC2" w:rsidRPr="005D4A4C">
        <w:rPr>
          <w:rFonts w:ascii="Times New Roman" w:hAnsi="Times New Roman" w:cs="Times New Roman"/>
        </w:rPr>
        <w:t xml:space="preserve"> my </w:t>
      </w:r>
      <w:r w:rsidR="00343081" w:rsidRPr="005D4A4C">
        <w:rPr>
          <w:rFonts w:ascii="Times New Roman" w:hAnsi="Times New Roman" w:cs="Times New Roman"/>
        </w:rPr>
        <w:t>understanding</w:t>
      </w:r>
      <w:r w:rsidR="001D5BC2" w:rsidRPr="005D4A4C">
        <w:rPr>
          <w:rFonts w:ascii="Times New Roman" w:hAnsi="Times New Roman" w:cs="Times New Roman"/>
        </w:rPr>
        <w:t xml:space="preserve"> of them</w:t>
      </w:r>
      <w:r w:rsidR="00DE6450" w:rsidRPr="005D4A4C">
        <w:rPr>
          <w:rFonts w:ascii="Times New Roman" w:hAnsi="Times New Roman" w:cs="Times New Roman"/>
        </w:rPr>
        <w:t>.</w:t>
      </w:r>
      <w:r w:rsidR="00F26BFA" w:rsidRPr="005D4A4C">
        <w:rPr>
          <w:rFonts w:ascii="Times New Roman" w:hAnsi="Times New Roman" w:cs="Times New Roman"/>
        </w:rPr>
        <w:t xml:space="preserve"> </w:t>
      </w:r>
      <w:r w:rsidR="00D43083" w:rsidRPr="005D4A4C">
        <w:rPr>
          <w:rFonts w:ascii="Times New Roman" w:hAnsi="Times New Roman" w:cs="Times New Roman"/>
        </w:rPr>
        <w:t>Furthermore, the documents used in this report</w:t>
      </w:r>
      <w:r w:rsidR="00DC0A04" w:rsidRPr="005D4A4C">
        <w:rPr>
          <w:rFonts w:ascii="Times New Roman" w:hAnsi="Times New Roman" w:cs="Times New Roman"/>
        </w:rPr>
        <w:t xml:space="preserve"> </w:t>
      </w:r>
      <w:r w:rsidR="00F26BFA" w:rsidRPr="005D4A4C">
        <w:rPr>
          <w:rFonts w:ascii="Times New Roman" w:hAnsi="Times New Roman" w:cs="Times New Roman"/>
        </w:rPr>
        <w:t xml:space="preserve">come from </w:t>
      </w:r>
      <w:r w:rsidR="001F066F" w:rsidRPr="005D4A4C">
        <w:rPr>
          <w:rFonts w:ascii="Times New Roman" w:hAnsi="Times New Roman" w:cs="Times New Roman"/>
        </w:rPr>
        <w:t>various</w:t>
      </w:r>
      <w:r w:rsidR="00F26BFA" w:rsidRPr="005D4A4C">
        <w:rPr>
          <w:rFonts w:ascii="Times New Roman" w:hAnsi="Times New Roman" w:cs="Times New Roman"/>
        </w:rPr>
        <w:t xml:space="preserve"> time frames and sources and thus may not accurately or holistically represent Simpcwc and</w:t>
      </w:r>
      <w:r w:rsidR="001C1AF7" w:rsidRPr="005D4A4C">
        <w:rPr>
          <w:rFonts w:ascii="Times New Roman" w:hAnsi="Times New Roman" w:cs="Times New Roman"/>
        </w:rPr>
        <w:t xml:space="preserve"> </w:t>
      </w:r>
      <w:r w:rsidR="00F26BFA" w:rsidRPr="005D4A4C">
        <w:rPr>
          <w:rFonts w:ascii="Times New Roman" w:hAnsi="Times New Roman" w:cs="Times New Roman"/>
        </w:rPr>
        <w:t>Simpcwemc people</w:t>
      </w:r>
      <w:r w:rsidR="001C1AF7" w:rsidRPr="005D4A4C">
        <w:rPr>
          <w:rFonts w:ascii="Times New Roman" w:hAnsi="Times New Roman" w:cs="Times New Roman"/>
        </w:rPr>
        <w:t>s</w:t>
      </w:r>
      <w:r w:rsidR="00F26BFA" w:rsidRPr="005D4A4C">
        <w:rPr>
          <w:rFonts w:ascii="Times New Roman" w:hAnsi="Times New Roman" w:cs="Times New Roman"/>
        </w:rPr>
        <w:t xml:space="preserve">. </w:t>
      </w:r>
      <w:r w:rsidR="00AF2497" w:rsidRPr="005D4A4C">
        <w:rPr>
          <w:rFonts w:ascii="Times New Roman" w:hAnsi="Times New Roman" w:cs="Times New Roman"/>
        </w:rPr>
        <w:t>Considering</w:t>
      </w:r>
      <w:r w:rsidR="006B2AF3" w:rsidRPr="005D4A4C">
        <w:rPr>
          <w:rFonts w:ascii="Times New Roman" w:hAnsi="Times New Roman" w:cs="Times New Roman"/>
        </w:rPr>
        <w:t xml:space="preserve"> these </w:t>
      </w:r>
      <w:r w:rsidR="00F26BFA" w:rsidRPr="005D4A4C">
        <w:rPr>
          <w:rFonts w:ascii="Times New Roman" w:hAnsi="Times New Roman" w:cs="Times New Roman"/>
        </w:rPr>
        <w:t>shortcomings</w:t>
      </w:r>
      <w:r w:rsidR="002B367F" w:rsidRPr="005D4A4C">
        <w:rPr>
          <w:rFonts w:ascii="Times New Roman" w:hAnsi="Times New Roman" w:cs="Times New Roman"/>
        </w:rPr>
        <w:t xml:space="preserve">, I </w:t>
      </w:r>
      <w:r w:rsidR="00F26BFA" w:rsidRPr="005D4A4C">
        <w:rPr>
          <w:rFonts w:ascii="Times New Roman" w:hAnsi="Times New Roman" w:cs="Times New Roman"/>
        </w:rPr>
        <w:t xml:space="preserve">attempt to use </w:t>
      </w:r>
      <w:r w:rsidR="008F520E" w:rsidRPr="005D4A4C">
        <w:rPr>
          <w:rFonts w:ascii="Times New Roman" w:hAnsi="Times New Roman" w:cs="Times New Roman"/>
        </w:rPr>
        <w:t xml:space="preserve">concepts and methodologies identified by </w:t>
      </w:r>
      <w:r w:rsidR="009B69D3" w:rsidRPr="005D4A4C">
        <w:rPr>
          <w:rFonts w:ascii="Times New Roman" w:hAnsi="Times New Roman" w:cs="Times New Roman"/>
        </w:rPr>
        <w:t>indigenous and non-indigenous</w:t>
      </w:r>
      <w:r w:rsidR="008F520E" w:rsidRPr="005D4A4C">
        <w:rPr>
          <w:rFonts w:ascii="Times New Roman" w:hAnsi="Times New Roman" w:cs="Times New Roman"/>
        </w:rPr>
        <w:t xml:space="preserve"> scholars to</w:t>
      </w:r>
      <w:r w:rsidR="009B69D3" w:rsidRPr="005D4A4C">
        <w:rPr>
          <w:rFonts w:ascii="Times New Roman" w:hAnsi="Times New Roman" w:cs="Times New Roman"/>
        </w:rPr>
        <w:t xml:space="preserve"> decolonize my approach</w:t>
      </w:r>
      <w:r w:rsidR="00911283" w:rsidRPr="005D4A4C">
        <w:rPr>
          <w:rFonts w:ascii="Times New Roman" w:hAnsi="Times New Roman" w:cs="Times New Roman"/>
        </w:rPr>
        <w:t xml:space="preserve"> and</w:t>
      </w:r>
      <w:r w:rsidR="008F520E" w:rsidRPr="005D4A4C">
        <w:rPr>
          <w:rFonts w:ascii="Times New Roman" w:hAnsi="Times New Roman" w:cs="Times New Roman"/>
        </w:rPr>
        <w:t xml:space="preserve"> work </w:t>
      </w:r>
      <w:r w:rsidR="002B367F" w:rsidRPr="005D4A4C">
        <w:rPr>
          <w:rFonts w:ascii="Times New Roman" w:hAnsi="Times New Roman" w:cs="Times New Roman"/>
        </w:rPr>
        <w:t xml:space="preserve">respectfully with the Indigenous </w:t>
      </w:r>
      <w:r w:rsidR="00911283" w:rsidRPr="005D4A4C">
        <w:rPr>
          <w:rFonts w:ascii="Times New Roman" w:hAnsi="Times New Roman" w:cs="Times New Roman"/>
        </w:rPr>
        <w:t>K</w:t>
      </w:r>
      <w:r w:rsidR="002B367F" w:rsidRPr="005D4A4C">
        <w:rPr>
          <w:rFonts w:ascii="Times New Roman" w:hAnsi="Times New Roman" w:cs="Times New Roman"/>
        </w:rPr>
        <w:t>nowledge</w:t>
      </w:r>
      <w:r w:rsidR="00911283" w:rsidRPr="005D4A4C">
        <w:rPr>
          <w:rFonts w:ascii="Times New Roman" w:hAnsi="Times New Roman" w:cs="Times New Roman"/>
        </w:rPr>
        <w:t>s</w:t>
      </w:r>
      <w:r w:rsidR="002B367F" w:rsidRPr="005D4A4C">
        <w:rPr>
          <w:rFonts w:ascii="Times New Roman" w:hAnsi="Times New Roman" w:cs="Times New Roman"/>
        </w:rPr>
        <w:t xml:space="preserve"> of the </w:t>
      </w:r>
      <w:r w:rsidR="00C73B35" w:rsidRPr="005D4A4C">
        <w:rPr>
          <w:rFonts w:ascii="Times New Roman" w:hAnsi="Times New Roman" w:cs="Times New Roman"/>
        </w:rPr>
        <w:t>Simpcw First Nation</w:t>
      </w:r>
      <w:r w:rsidR="009B69D3" w:rsidRPr="005D4A4C">
        <w:rPr>
          <w:rFonts w:ascii="Times New Roman" w:hAnsi="Times New Roman" w:cs="Times New Roman"/>
        </w:rPr>
        <w:t xml:space="preserve"> </w:t>
      </w:r>
      <w:r w:rsidR="00DB5A51" w:rsidRPr="005D4A4C">
        <w:rPr>
          <w:rFonts w:ascii="Times New Roman" w:hAnsi="Times New Roman" w:cs="Times New Roman"/>
        </w:rPr>
        <w:t xml:space="preserve">and Simpcwemc peoples </w:t>
      </w:r>
      <w:r w:rsidR="00E43476" w:rsidRPr="005D4A4C">
        <w:rPr>
          <w:rFonts w:ascii="Times New Roman" w:hAnsi="Times New Roman" w:cs="Times New Roman"/>
        </w:rPr>
        <w:fldChar w:fldCharType="begin"/>
      </w:r>
      <w:r w:rsidR="004026EC" w:rsidRPr="005D4A4C">
        <w:rPr>
          <w:rFonts w:ascii="Times New Roman" w:hAnsi="Times New Roman" w:cs="Times New Roman"/>
        </w:rPr>
        <w:instrText xml:space="preserve"> ADDIN ZOTERO_ITEM CSL_CITATION {"citationID":"lPrENThJ","properties":{"formattedCitation":"(Darwin Holmes, 2020; Tuck, 2013; Wong et al., 2020)","plainCitation":"(Darwin Holmes, 2020; Tuck, 2013; Wong et al., 2020)","noteIndex":0},"citationItems":[{"id":1737,"uris":["http://zotero.org/users/7094349/items/Q7LZK92N"],"itemData":{"id":1737,"type":"article-journal","abstract":"Masters and PhD student researchers in the social sciences are often required to explore and explain their positionality, as, in the social world, it is recognized that their ontological and epistemological beliefs influence their research. Yet novice researchers often struggle with identifying their positionality. This paper explores researcher positionality and its influence on and place in the research process. Its purpose is to help new postgraduate researchers better understand positionality so that they may incorporate a reflexive approach to their research and start to clarify their positionality.","container-title":"Shanlax International Journal of Education","DOI":"10.34293/education.v8i4.3232","ISSN":"2582-1334, 2320-2653","issue":"4","journalAbbreviation":"education","language":"en","page":"1-10","source":"DOI.org (Crossref)","title":"Researcher Positionality - A Consideration of Its Influence and Place in Qualitative Research - A New Researcher Guide","URL":"http://shanlaxjournals.in/journals/index.php/education/article/view/3232","volume":"8","author":[{"family":"Darwin Holmes","given":"Andrew Gary"}],"accessed":{"date-parts":[["2024",2,5]]},"issued":{"date-parts":[["2020",9,1]]}}},{"id":1738,"uris":["http://zotero.org/users/7094349/items/AA2Z45RV"],"itemData":{"id":1738,"type":"article-journal","abstract":"The following commentary is based on discussant remarks in response to a lecture given by Linda Tuhiwai Smith in New York in April this year. The lecture anticipated/commemorated the 15th anniversary of Smith's Decolonizing Methodologies: Research and Indigenous Peoples, published in 1999 by Zed Books. It also marked the release of the second edition of Decolonizing Methodologies in 2012. The lecture took place on the traditional homelands of Lenee Lenape peoples—land called Manahatta, now called Manhattan—at The Graduate Center of The City University of New York.","container-title":"AlterNative: An International Journal of Indigenous Peoples","DOI":"10.1177/117718011300900407","ISSN":"1177-1801, 1174-1740","issue":"4","journalAbbreviation":"AlterNative: An International Journal of Indigenous Peoples","language":"en","page":"365-372","source":"DOI.org (Crossref)","title":"Commentary: Decolonizing Methodologies 15 years later","title-short":"Commentary","URL":"http://journals.sagepub.com/doi/10.1177/117718011300900407","volume":"9","author":[{"family":"Tuck","given":"Eve"}],"accessed":{"date-parts":[["2024",2,5]]},"issued":{"date-parts":[["2013",12]]}}},{"id":1739,"uris":["http://zotero.org/users/7094349/items/VXB55YTQ"],"itemData":{"id":1739,"type":"article-journal","abstract":"In 2015, after documenting testimonies from Indigenous survivors of the residential school system in Canada, the Truth and Reconciliation Commission released 94 Calls to Action to enable reconciliation between Indigenous and non-Indigenous Canadians. Without personal connections to Indigenous communities, many Canadians fail to grasp the depth of intergenerational impacts of residential schools and associated systemic racism. Consequently, reconciliation remains an elusive concept. Here we outline 10 Calls to Action to natural scientists to enable reconciliation in their work. We focus on natural scientists because a common connection to the land should tie the social license of natural scientists more closely to Indigenous communities than currently exists. We also focus on natural sciences because of the underrepresentation of Indigenous peoples in this field. We draw on existing guidelines and our experiences in northern Canada. Our 10 Calls to Action are triggered by frustration. The authors have witnessed examples where natural scientists treat Indigenous communities with blatant disrespect or with ignorance of Indigenous rights. These 10 Calls to Action challenge the scientific community to recognize that reconciliation requires a new way of conducting natural science, one that includes and respects Indigenous communities, rights, and knowledge leading to better scientific and community outcomes.","container-title":"FACETS","DOI":"10.1139/facets-2020-0005","ISSN":"2371-1671","issue":"1","journalAbbreviation":"FACETS","language":"en","page":"769-783","source":"DOI.org (Crossref)","title":"Towards reconciliation: 10 Calls to Action to natural scientists working in Canada","title-short":"Towards reconciliation","URL":"http://www.facetsjournal.com/doi/10.1139/facets-2020-0005","volume":"5","author":[{"family":"Wong","given":"Carmen"},{"family":"Ballegooyen","given":"Kate"},{"family":"Ignace","given":"Lawrence"},{"family":"Johnson","given":"Mary Jane (Gùdia)"},{"family":"Swanson","given":"Heidi"}],"editor":[{"family":"Boran","given":"Idil"}],"accessed":{"date-parts":[["2024",2,5]]},"issued":{"date-parts":[["2020",1,1]]}}}],"schema":"https://github.com/citation-style-language/schema/raw/master/csl-citation.json"} </w:instrText>
      </w:r>
      <w:r w:rsidR="00E43476" w:rsidRPr="005D4A4C">
        <w:rPr>
          <w:rFonts w:ascii="Times New Roman" w:hAnsi="Times New Roman" w:cs="Times New Roman"/>
        </w:rPr>
        <w:fldChar w:fldCharType="separate"/>
      </w:r>
      <w:r w:rsidR="004026EC" w:rsidRPr="005D4A4C">
        <w:rPr>
          <w:rFonts w:ascii="Times New Roman" w:hAnsi="Times New Roman" w:cs="Times New Roman"/>
          <w:noProof/>
        </w:rPr>
        <w:t>(Darwin Holmes, 2020; Tuck, 2013; Wong et al., 2020)</w:t>
      </w:r>
      <w:r w:rsidR="00E43476" w:rsidRPr="005D4A4C">
        <w:rPr>
          <w:rFonts w:ascii="Times New Roman" w:hAnsi="Times New Roman" w:cs="Times New Roman"/>
        </w:rPr>
        <w:fldChar w:fldCharType="end"/>
      </w:r>
      <w:r w:rsidR="008F520E" w:rsidRPr="005D4A4C">
        <w:rPr>
          <w:rFonts w:ascii="Times New Roman" w:hAnsi="Times New Roman" w:cs="Times New Roman"/>
        </w:rPr>
        <w:t>.</w:t>
      </w:r>
      <w:r w:rsidR="00C73B35" w:rsidRPr="005D4A4C">
        <w:rPr>
          <w:rFonts w:ascii="Times New Roman" w:hAnsi="Times New Roman" w:cs="Times New Roman"/>
        </w:rPr>
        <w:t xml:space="preserve"> </w:t>
      </w:r>
    </w:p>
    <w:p w14:paraId="7242DAC1" w14:textId="79BD8739" w:rsidR="002A2C6D" w:rsidRPr="005D4A4C" w:rsidRDefault="009508D0" w:rsidP="00EC7FE5">
      <w:pPr>
        <w:ind w:firstLine="720"/>
        <w:rPr>
          <w:rFonts w:ascii="Times New Roman" w:hAnsi="Times New Roman" w:cs="Times New Roman"/>
        </w:rPr>
      </w:pPr>
      <w:r w:rsidRPr="005D4A4C">
        <w:rPr>
          <w:rFonts w:ascii="Times New Roman" w:hAnsi="Times New Roman" w:cs="Times New Roman"/>
        </w:rPr>
        <w:br w:type="page"/>
      </w:r>
      <w:r w:rsidR="00694635" w:rsidRPr="005D4A4C">
        <w:rPr>
          <w:rFonts w:ascii="Times New Roman" w:hAnsi="Times New Roman" w:cs="Times New Roman"/>
        </w:rPr>
        <w:lastRenderedPageBreak/>
        <w:t xml:space="preserve">The Simpcwemc are the original and sole proprietors of the Simpcwul’ecw, where they have maintained places, landscapes, histories, and heritage since </w:t>
      </w:r>
      <w:r w:rsidR="002A2C6D" w:rsidRPr="005D4A4C">
        <w:rPr>
          <w:rFonts w:ascii="Times New Roman" w:hAnsi="Times New Roman" w:cs="Times New Roman"/>
        </w:rPr>
        <w:t xml:space="preserve">time </w:t>
      </w:r>
      <w:r w:rsidR="00694635" w:rsidRPr="005D4A4C">
        <w:rPr>
          <w:rFonts w:ascii="Times New Roman" w:hAnsi="Times New Roman" w:cs="Times New Roman"/>
        </w:rPr>
        <w:t>immemorial</w:t>
      </w:r>
      <w:r w:rsidR="002A2C6D" w:rsidRPr="005D4A4C">
        <w:rPr>
          <w:rFonts w:ascii="Times New Roman" w:hAnsi="Times New Roman" w:cs="Times New Roman"/>
        </w:rPr>
        <w:t xml:space="preserve"> </w:t>
      </w:r>
      <w:r w:rsidR="00472C76">
        <w:rPr>
          <w:rFonts w:ascii="Times New Roman" w:hAnsi="Times New Roman" w:cs="Times New Roman"/>
        </w:rPr>
        <w:fldChar w:fldCharType="begin"/>
      </w:r>
      <w:r w:rsidR="00F9239C">
        <w:rPr>
          <w:rFonts w:ascii="Times New Roman" w:hAnsi="Times New Roman" w:cs="Times New Roman"/>
        </w:rPr>
        <w:instrText xml:space="preserve"> ADDIN ZOTERO_ITEM CSL_CITATION {"citationID":"d3oEBu9y","properties":{"formattedCitation":"(Chiefs of the Shuswap, Okanagan, and Couteau Tribes, 1910)","plainCitation":"(Chiefs of the Shuswap, Okanagan, and Couteau Tribes, 1910)","noteIndex":0},"citationItems":[{"id":1740,"uris":["http://zotero.org/users/7094349/items/J4Y93GBY"],"itemData":{"id":1740,"type":"personal_communication","archive":"Library and Archives Canada","archive_location":"Laurier Papers, Series A Correspondence, 22 July to 30 August 1910","source":"MG 26-G, vol. 641, files 174,070 to 174,077","title":"cihm_16242.pdf","title-short":"Memorial to Sir Wilfrid Laurier, Premier of the Dominion of Canada, from the Chiefs of the Shuswap, Okanagan, and Couteau Tribes of British Columbia, Kamloops, 25 August 1910","author":[{"family":"Chiefs of the Shuswap, Okanagan, and Couteau Tribes","given":""}],"issued":{"date-parts":[["1910",8,22]]}}}],"schema":"https://github.com/citation-style-language/schema/raw/master/csl-citation.json"} </w:instrText>
      </w:r>
      <w:r w:rsidR="00472C76">
        <w:rPr>
          <w:rFonts w:ascii="Times New Roman" w:hAnsi="Times New Roman" w:cs="Times New Roman"/>
        </w:rPr>
        <w:fldChar w:fldCharType="separate"/>
      </w:r>
      <w:r w:rsidR="00F9239C">
        <w:rPr>
          <w:rFonts w:ascii="Times New Roman" w:hAnsi="Times New Roman" w:cs="Times New Roman"/>
          <w:noProof/>
        </w:rPr>
        <w:t>(Chiefs of the Shuswap, Okanagan, and Couteau Tribes, 1910)</w:t>
      </w:r>
      <w:r w:rsidR="00472C76">
        <w:rPr>
          <w:rFonts w:ascii="Times New Roman" w:hAnsi="Times New Roman" w:cs="Times New Roman"/>
        </w:rPr>
        <w:fldChar w:fldCharType="end"/>
      </w:r>
      <w:r w:rsidR="00694635" w:rsidRPr="005D4A4C">
        <w:rPr>
          <w:rFonts w:ascii="Times New Roman" w:hAnsi="Times New Roman" w:cs="Times New Roman"/>
        </w:rPr>
        <w:t>.</w:t>
      </w:r>
      <w:r w:rsidR="002A2C6D" w:rsidRPr="005D4A4C">
        <w:rPr>
          <w:rFonts w:ascii="Times New Roman" w:hAnsi="Times New Roman" w:cs="Times New Roman"/>
        </w:rPr>
        <w:t xml:space="preserve"> The Simpcwemc originally belong</w:t>
      </w:r>
      <w:r w:rsidR="003F5313" w:rsidRPr="005D4A4C">
        <w:rPr>
          <w:rFonts w:ascii="Times New Roman" w:hAnsi="Times New Roman" w:cs="Times New Roman"/>
        </w:rPr>
        <w:t>ed</w:t>
      </w:r>
      <w:r w:rsidR="002A2C6D" w:rsidRPr="005D4A4C">
        <w:rPr>
          <w:rFonts w:ascii="Times New Roman" w:hAnsi="Times New Roman" w:cs="Times New Roman"/>
        </w:rPr>
        <w:t xml:space="preserve"> to 32 distinct Secwepmec bands that once occupied the Interior Plateau of </w:t>
      </w:r>
      <w:r w:rsidR="006E6C64" w:rsidRPr="005D4A4C">
        <w:rPr>
          <w:rFonts w:ascii="Times New Roman" w:hAnsi="Times New Roman" w:cs="Times New Roman"/>
        </w:rPr>
        <w:t>so-called</w:t>
      </w:r>
      <w:r w:rsidR="002A2C6D" w:rsidRPr="005D4A4C">
        <w:rPr>
          <w:rFonts w:ascii="Times New Roman" w:hAnsi="Times New Roman" w:cs="Times New Roman"/>
        </w:rPr>
        <w:t xml:space="preserve"> British Columbia before 15 of these bands were either lost or absorbed into other nations due to the impacts of colonialism </w:t>
      </w:r>
      <w:r w:rsidR="00D041D5" w:rsidRPr="005D4A4C">
        <w:rPr>
          <w:rFonts w:ascii="Times New Roman" w:hAnsi="Times New Roman" w:cs="Times New Roman"/>
        </w:rPr>
        <w:t>during</w:t>
      </w:r>
      <w:r w:rsidR="002A2C6D" w:rsidRPr="005D4A4C">
        <w:rPr>
          <w:rFonts w:ascii="Times New Roman" w:hAnsi="Times New Roman" w:cs="Times New Roman"/>
        </w:rPr>
        <w:t xml:space="preserve"> the 19</w:t>
      </w:r>
      <w:r w:rsidR="002A2C6D" w:rsidRPr="005D4A4C">
        <w:rPr>
          <w:rFonts w:ascii="Times New Roman" w:hAnsi="Times New Roman" w:cs="Times New Roman"/>
          <w:vertAlign w:val="superscript"/>
        </w:rPr>
        <w:t>th</w:t>
      </w:r>
      <w:r w:rsidR="002A2C6D" w:rsidRPr="005D4A4C">
        <w:rPr>
          <w:rFonts w:ascii="Times New Roman" w:hAnsi="Times New Roman" w:cs="Times New Roman"/>
        </w:rPr>
        <w:t xml:space="preserve"> and 20</w:t>
      </w:r>
      <w:r w:rsidR="002A2C6D" w:rsidRPr="005D4A4C">
        <w:rPr>
          <w:rFonts w:ascii="Times New Roman" w:hAnsi="Times New Roman" w:cs="Times New Roman"/>
          <w:vertAlign w:val="superscript"/>
        </w:rPr>
        <w:t>th</w:t>
      </w:r>
      <w:r w:rsidR="002A2C6D" w:rsidRPr="005D4A4C">
        <w:rPr>
          <w:rFonts w:ascii="Times New Roman" w:hAnsi="Times New Roman" w:cs="Times New Roman"/>
        </w:rPr>
        <w:t xml:space="preserve"> centuries</w:t>
      </w:r>
      <w:r w:rsidR="008C2246">
        <w:rPr>
          <w:rFonts w:ascii="Times New Roman" w:hAnsi="Times New Roman" w:cs="Times New Roman"/>
        </w:rPr>
        <w:t xml:space="preserve"> </w:t>
      </w:r>
      <w:r w:rsidR="008C2246">
        <w:rPr>
          <w:rFonts w:ascii="Times New Roman" w:hAnsi="Times New Roman" w:cs="Times New Roman"/>
        </w:rPr>
        <w:fldChar w:fldCharType="begin"/>
      </w:r>
      <w:r w:rsidR="00EC137F">
        <w:rPr>
          <w:rFonts w:ascii="Times New Roman" w:hAnsi="Times New Roman" w:cs="Times New Roman"/>
        </w:rPr>
        <w:instrText xml:space="preserve"> ADDIN ZOTERO_ITEM CSL_CITATION {"citationID":"29FfKDVk","properties":{"formattedCitation":"(Simpcwc First Nation, 2012)","plainCitation":"(Simpcwc First Nation, 2012)","noteIndex":0},"citationItems":[{"id":1743,"uris":["http://zotero.org/users/7094349/items/DPIQDLIS"],"itemData":{"id":1743,"type":"report","title":"Traditional Land Use &amp; Ecological Knowledge Study: Public Version","URL":"https://iaac-aeic.gc.ca/050/documents/p61898/100972E.pdf","author":[{"family":"Simpcwc First Nation","given":""}],"issued":{"date-parts":[["2012",8]]}}}],"schema":"https://github.com/citation-style-language/schema/raw/master/csl-citation.json"} </w:instrText>
      </w:r>
      <w:r w:rsidR="008C2246">
        <w:rPr>
          <w:rFonts w:ascii="Times New Roman" w:hAnsi="Times New Roman" w:cs="Times New Roman"/>
        </w:rPr>
        <w:fldChar w:fldCharType="separate"/>
      </w:r>
      <w:r w:rsidR="00EC137F">
        <w:rPr>
          <w:rFonts w:ascii="Times New Roman" w:hAnsi="Times New Roman" w:cs="Times New Roman"/>
          <w:noProof/>
        </w:rPr>
        <w:t>(Simpcwc First Nation, 2012)</w:t>
      </w:r>
      <w:r w:rsidR="008C2246">
        <w:rPr>
          <w:rFonts w:ascii="Times New Roman" w:hAnsi="Times New Roman" w:cs="Times New Roman"/>
        </w:rPr>
        <w:fldChar w:fldCharType="end"/>
      </w:r>
      <w:r w:rsidR="002A2C6D" w:rsidRPr="005D4A4C">
        <w:rPr>
          <w:rFonts w:ascii="Times New Roman" w:hAnsi="Times New Roman" w:cs="Times New Roman"/>
        </w:rPr>
        <w:t xml:space="preserve">. </w:t>
      </w:r>
      <w:r w:rsidR="009E200B" w:rsidRPr="005D4A4C">
        <w:rPr>
          <w:rFonts w:ascii="Times New Roman" w:hAnsi="Times New Roman" w:cs="Times New Roman"/>
        </w:rPr>
        <w:t>Today</w:t>
      </w:r>
      <w:r w:rsidR="002A2C6D" w:rsidRPr="005D4A4C">
        <w:rPr>
          <w:rFonts w:ascii="Times New Roman" w:hAnsi="Times New Roman" w:cs="Times New Roman"/>
        </w:rPr>
        <w:t xml:space="preserve">, Simpcwc represents </w:t>
      </w:r>
      <w:r w:rsidR="003967DE" w:rsidRPr="005D4A4C">
        <w:rPr>
          <w:rFonts w:ascii="Times New Roman" w:hAnsi="Times New Roman" w:cs="Times New Roman"/>
        </w:rPr>
        <w:t>one of 17 member bands of the Secwepemc Nation. The Simpcwc</w:t>
      </w:r>
      <w:r w:rsidR="003F5313" w:rsidRPr="005D4A4C">
        <w:rPr>
          <w:rFonts w:ascii="Times New Roman" w:hAnsi="Times New Roman" w:cs="Times New Roman"/>
        </w:rPr>
        <w:t>,</w:t>
      </w:r>
      <w:r w:rsidR="003967DE" w:rsidRPr="005D4A4C">
        <w:rPr>
          <w:rFonts w:ascii="Times New Roman" w:hAnsi="Times New Roman" w:cs="Times New Roman"/>
        </w:rPr>
        <w:t xml:space="preserve"> </w:t>
      </w:r>
      <w:r w:rsidR="00D041D5" w:rsidRPr="005D4A4C">
        <w:rPr>
          <w:rFonts w:ascii="Times New Roman" w:hAnsi="Times New Roman" w:cs="Times New Roman"/>
        </w:rPr>
        <w:t xml:space="preserve">as a band, </w:t>
      </w:r>
      <w:r w:rsidR="003967DE" w:rsidRPr="005D4A4C">
        <w:rPr>
          <w:rFonts w:ascii="Times New Roman" w:hAnsi="Times New Roman" w:cs="Times New Roman"/>
        </w:rPr>
        <w:t>share</w:t>
      </w:r>
      <w:r w:rsidR="003F5313" w:rsidRPr="005D4A4C">
        <w:rPr>
          <w:rFonts w:ascii="Times New Roman" w:hAnsi="Times New Roman" w:cs="Times New Roman"/>
        </w:rPr>
        <w:t>s many cultural practices and doctrines</w:t>
      </w:r>
      <w:r w:rsidR="003967DE" w:rsidRPr="005D4A4C">
        <w:rPr>
          <w:rFonts w:ascii="Times New Roman" w:hAnsi="Times New Roman" w:cs="Times New Roman"/>
        </w:rPr>
        <w:t xml:space="preserve"> that of the other Secwep</w:t>
      </w:r>
      <w:r w:rsidR="00D041D5" w:rsidRPr="005D4A4C">
        <w:rPr>
          <w:rFonts w:ascii="Times New Roman" w:hAnsi="Times New Roman" w:cs="Times New Roman"/>
        </w:rPr>
        <w:t>e</w:t>
      </w:r>
      <w:r w:rsidR="003967DE" w:rsidRPr="005D4A4C">
        <w:rPr>
          <w:rFonts w:ascii="Times New Roman" w:hAnsi="Times New Roman" w:cs="Times New Roman"/>
        </w:rPr>
        <w:t>mc bands</w:t>
      </w:r>
      <w:r w:rsidR="003F5313" w:rsidRPr="005D4A4C">
        <w:rPr>
          <w:rFonts w:ascii="Times New Roman" w:hAnsi="Times New Roman" w:cs="Times New Roman"/>
        </w:rPr>
        <w:t>. Still,</w:t>
      </w:r>
      <w:r w:rsidR="00D041D5" w:rsidRPr="005D4A4C">
        <w:rPr>
          <w:rFonts w:ascii="Times New Roman" w:hAnsi="Times New Roman" w:cs="Times New Roman"/>
        </w:rPr>
        <w:t xml:space="preserve"> </w:t>
      </w:r>
      <w:r w:rsidR="00F26BFA" w:rsidRPr="005D4A4C">
        <w:rPr>
          <w:rFonts w:ascii="Times New Roman" w:hAnsi="Times New Roman" w:cs="Times New Roman"/>
        </w:rPr>
        <w:t xml:space="preserve">many regional, sub-group, and </w:t>
      </w:r>
      <w:r w:rsidR="009E646F" w:rsidRPr="005D4A4C">
        <w:rPr>
          <w:rFonts w:ascii="Times New Roman" w:hAnsi="Times New Roman" w:cs="Times New Roman"/>
        </w:rPr>
        <w:t xml:space="preserve">kweseltken </w:t>
      </w:r>
      <w:r w:rsidR="00F26BFA" w:rsidRPr="005D4A4C">
        <w:rPr>
          <w:rFonts w:ascii="Times New Roman" w:hAnsi="Times New Roman" w:cs="Times New Roman"/>
        </w:rPr>
        <w:t>(</w:t>
      </w:r>
      <w:r w:rsidR="009E646F" w:rsidRPr="005D4A4C">
        <w:rPr>
          <w:rFonts w:ascii="Times New Roman" w:hAnsi="Times New Roman" w:cs="Times New Roman"/>
        </w:rPr>
        <w:t>family</w:t>
      </w:r>
      <w:r w:rsidR="00F26BFA" w:rsidRPr="005D4A4C">
        <w:rPr>
          <w:rFonts w:ascii="Times New Roman" w:hAnsi="Times New Roman" w:cs="Times New Roman"/>
        </w:rPr>
        <w:t>) differences within and among Secwepemc bands</w:t>
      </w:r>
      <w:r w:rsidR="003F5313" w:rsidRPr="005D4A4C">
        <w:rPr>
          <w:rFonts w:ascii="Times New Roman" w:hAnsi="Times New Roman" w:cs="Times New Roman"/>
        </w:rPr>
        <w:t xml:space="preserve"> allow for independent and autonomous land stewardship</w:t>
      </w:r>
      <w:r w:rsidR="00D041D5" w:rsidRPr="005D4A4C">
        <w:rPr>
          <w:rFonts w:ascii="Times New Roman" w:hAnsi="Times New Roman" w:cs="Times New Roman"/>
        </w:rPr>
        <w:t xml:space="preserve">. </w:t>
      </w:r>
      <w:r w:rsidR="009E200B" w:rsidRPr="005D4A4C">
        <w:rPr>
          <w:rFonts w:ascii="Times New Roman" w:hAnsi="Times New Roman" w:cs="Times New Roman"/>
        </w:rPr>
        <w:t>The</w:t>
      </w:r>
      <w:r w:rsidR="00D041D5" w:rsidRPr="005D4A4C">
        <w:rPr>
          <w:rFonts w:ascii="Times New Roman" w:hAnsi="Times New Roman" w:cs="Times New Roman"/>
        </w:rPr>
        <w:t xml:space="preserve"> Simpcwemc people</w:t>
      </w:r>
      <w:r w:rsidR="00835E0D" w:rsidRPr="005D4A4C">
        <w:rPr>
          <w:rFonts w:ascii="Times New Roman" w:hAnsi="Times New Roman" w:cs="Times New Roman"/>
        </w:rPr>
        <w:t xml:space="preserve">s </w:t>
      </w:r>
      <w:r w:rsidR="00F26BFA" w:rsidRPr="005D4A4C">
        <w:rPr>
          <w:rFonts w:ascii="Times New Roman" w:hAnsi="Times New Roman" w:cs="Times New Roman"/>
        </w:rPr>
        <w:t>represent a large diversity of geographies, ecologies, and resources, aligning</w:t>
      </w:r>
      <w:r w:rsidR="009E200B" w:rsidRPr="005D4A4C">
        <w:rPr>
          <w:rFonts w:ascii="Times New Roman" w:hAnsi="Times New Roman" w:cs="Times New Roman"/>
        </w:rPr>
        <w:t xml:space="preserve"> with the </w:t>
      </w:r>
      <w:r w:rsidR="003F5313" w:rsidRPr="005D4A4C">
        <w:rPr>
          <w:rFonts w:ascii="Times New Roman" w:hAnsi="Times New Roman" w:cs="Times New Roman"/>
        </w:rPr>
        <w:t>enormous</w:t>
      </w:r>
      <w:r w:rsidR="009E200B" w:rsidRPr="005D4A4C">
        <w:rPr>
          <w:rFonts w:ascii="Times New Roman" w:hAnsi="Times New Roman" w:cs="Times New Roman"/>
        </w:rPr>
        <w:t xml:space="preserve"> diversity in the Simpcwul'ecw landscape that the Simpcwemc steward. </w:t>
      </w:r>
    </w:p>
    <w:p w14:paraId="71C66705" w14:textId="77777777" w:rsidR="00F44520" w:rsidRPr="005D4A4C" w:rsidRDefault="00F44520" w:rsidP="002A2C6D">
      <w:pPr>
        <w:rPr>
          <w:rFonts w:ascii="Times New Roman" w:hAnsi="Times New Roman" w:cs="Times New Roman"/>
        </w:rPr>
      </w:pPr>
    </w:p>
    <w:p w14:paraId="72EA8879" w14:textId="36539F96" w:rsidR="000E69AC" w:rsidRPr="005D4A4C" w:rsidRDefault="002A2C6D" w:rsidP="00EC7FE5">
      <w:pPr>
        <w:ind w:firstLine="720"/>
        <w:rPr>
          <w:rFonts w:ascii="Times New Roman" w:hAnsi="Times New Roman" w:cs="Times New Roman"/>
        </w:rPr>
      </w:pPr>
      <w:r w:rsidRPr="005D4A4C">
        <w:rPr>
          <w:rFonts w:ascii="Times New Roman" w:hAnsi="Times New Roman" w:cs="Times New Roman"/>
        </w:rPr>
        <w:t xml:space="preserve">Simpcwul'ecw is one of the </w:t>
      </w:r>
      <w:r w:rsidR="00752B8A" w:rsidRPr="005D4A4C">
        <w:rPr>
          <w:rFonts w:ascii="Times New Roman" w:hAnsi="Times New Roman" w:cs="Times New Roman"/>
        </w:rPr>
        <w:t>largest</w:t>
      </w:r>
      <w:r w:rsidRPr="005D4A4C">
        <w:rPr>
          <w:rFonts w:ascii="Times New Roman" w:hAnsi="Times New Roman" w:cs="Times New Roman"/>
        </w:rPr>
        <w:t xml:space="preserve"> Secwepemc territories</w:t>
      </w:r>
      <w:r w:rsidR="009E200B" w:rsidRPr="005D4A4C">
        <w:rPr>
          <w:rFonts w:ascii="Times New Roman" w:hAnsi="Times New Roman" w:cs="Times New Roman"/>
        </w:rPr>
        <w:t>,</w:t>
      </w:r>
      <w:r w:rsidR="00F44520" w:rsidRPr="005D4A4C">
        <w:rPr>
          <w:rFonts w:ascii="Times New Roman" w:hAnsi="Times New Roman" w:cs="Times New Roman"/>
        </w:rPr>
        <w:t xml:space="preserve"> with</w:t>
      </w:r>
      <w:r w:rsidR="007200B5" w:rsidRPr="005D4A4C">
        <w:rPr>
          <w:rFonts w:ascii="Times New Roman" w:hAnsi="Times New Roman" w:cs="Times New Roman"/>
        </w:rPr>
        <w:t xml:space="preserve"> a</w:t>
      </w:r>
      <w:r w:rsidR="00F44520" w:rsidRPr="005D4A4C">
        <w:rPr>
          <w:rFonts w:ascii="Times New Roman" w:hAnsi="Times New Roman" w:cs="Times New Roman"/>
        </w:rPr>
        <w:t xml:space="preserve"> </w:t>
      </w:r>
      <w:r w:rsidR="007200B5" w:rsidRPr="005D4A4C">
        <w:rPr>
          <w:rFonts w:ascii="Times New Roman" w:hAnsi="Times New Roman" w:cs="Times New Roman"/>
        </w:rPr>
        <w:t>vast</w:t>
      </w:r>
      <w:r w:rsidR="00F44520" w:rsidRPr="005D4A4C">
        <w:rPr>
          <w:rFonts w:ascii="Times New Roman" w:hAnsi="Times New Roman" w:cs="Times New Roman"/>
        </w:rPr>
        <w:t xml:space="preserve"> </w:t>
      </w:r>
      <w:r w:rsidR="009E200B" w:rsidRPr="005D4A4C">
        <w:rPr>
          <w:rFonts w:ascii="Times New Roman" w:hAnsi="Times New Roman" w:cs="Times New Roman"/>
        </w:rPr>
        <w:t>geologic</w:t>
      </w:r>
      <w:r w:rsidR="00F44520" w:rsidRPr="005D4A4C">
        <w:rPr>
          <w:rFonts w:ascii="Times New Roman" w:hAnsi="Times New Roman" w:cs="Times New Roman"/>
        </w:rPr>
        <w:t xml:space="preserve"> and ecological diversity</w:t>
      </w:r>
      <w:r w:rsidR="00EC137F">
        <w:rPr>
          <w:rFonts w:ascii="Times New Roman" w:hAnsi="Times New Roman" w:cs="Times New Roman"/>
        </w:rPr>
        <w:t xml:space="preserve"> </w:t>
      </w:r>
      <w:r w:rsidR="00E37DFE">
        <w:rPr>
          <w:rFonts w:ascii="Times New Roman" w:hAnsi="Times New Roman" w:cs="Times New Roman"/>
        </w:rPr>
        <w:fldChar w:fldCharType="begin"/>
      </w:r>
      <w:r w:rsidR="00E37DFE">
        <w:rPr>
          <w:rFonts w:ascii="Times New Roman" w:hAnsi="Times New Roman" w:cs="Times New Roman"/>
        </w:rPr>
        <w:instrText xml:space="preserve"> ADDIN ZOTERO_ITEM CSL_CITATION {"citationID":"jwI8s172","properties":{"formattedCitation":"(Simpcwc First Nation, 2012)","plainCitation":"(Simpcwc First Nation, 2012)","noteIndex":0},"citationItems":[{"id":1743,"uris":["http://zotero.org/users/7094349/items/DPIQDLIS"],"itemData":{"id":1743,"type":"report","title":"Traditional Land Use &amp; Ecological Knowledge Study: Public Version","URL":"https://iaac-aeic.gc.ca/050/documents/p61898/100972E.pdf","author":[{"family":"Simpcwc First Nation","given":""}],"issued":{"date-parts":[["2012",8]]}}}],"schema":"https://github.com/citation-style-language/schema/raw/master/csl-citation.json"} </w:instrText>
      </w:r>
      <w:r w:rsidR="00E37DFE">
        <w:rPr>
          <w:rFonts w:ascii="Times New Roman" w:hAnsi="Times New Roman" w:cs="Times New Roman"/>
        </w:rPr>
        <w:fldChar w:fldCharType="separate"/>
      </w:r>
      <w:r w:rsidR="00E37DFE">
        <w:rPr>
          <w:rFonts w:ascii="Times New Roman" w:hAnsi="Times New Roman" w:cs="Times New Roman"/>
          <w:noProof/>
        </w:rPr>
        <w:t>(Simpcwc First Nation, 2012)</w:t>
      </w:r>
      <w:r w:rsidR="00E37DFE">
        <w:rPr>
          <w:rFonts w:ascii="Times New Roman" w:hAnsi="Times New Roman" w:cs="Times New Roman"/>
        </w:rPr>
        <w:fldChar w:fldCharType="end"/>
      </w:r>
      <w:r w:rsidR="00F44520" w:rsidRPr="005D4A4C">
        <w:rPr>
          <w:rFonts w:ascii="Times New Roman" w:hAnsi="Times New Roman" w:cs="Times New Roman"/>
        </w:rPr>
        <w:t>.</w:t>
      </w:r>
      <w:r w:rsidRPr="005D4A4C">
        <w:rPr>
          <w:rFonts w:ascii="Times New Roman" w:hAnsi="Times New Roman" w:cs="Times New Roman"/>
        </w:rPr>
        <w:t xml:space="preserve"> </w:t>
      </w:r>
      <w:r w:rsidR="00F44520" w:rsidRPr="005D4A4C">
        <w:rPr>
          <w:rFonts w:ascii="Times New Roman" w:hAnsi="Times New Roman" w:cs="Times New Roman"/>
        </w:rPr>
        <w:t xml:space="preserve">The Simpcwul'ecw territory </w:t>
      </w:r>
      <w:r w:rsidR="009E200B" w:rsidRPr="005D4A4C">
        <w:rPr>
          <w:rFonts w:ascii="Times New Roman" w:hAnsi="Times New Roman" w:cs="Times New Roman"/>
        </w:rPr>
        <w:t xml:space="preserve">occupies around </w:t>
      </w:r>
      <w:r w:rsidR="00DD0B96" w:rsidRPr="005D4A4C">
        <w:rPr>
          <w:rFonts w:ascii="Times New Roman" w:hAnsi="Times New Roman" w:cs="Times New Roman"/>
        </w:rPr>
        <w:t>5</w:t>
      </w:r>
      <w:r w:rsidR="009E200B" w:rsidRPr="005D4A4C">
        <w:rPr>
          <w:rFonts w:ascii="Times New Roman" w:hAnsi="Times New Roman" w:cs="Times New Roman"/>
        </w:rPr>
        <w:t xml:space="preserve"> million hectares of </w:t>
      </w:r>
      <w:r w:rsidR="003F5313" w:rsidRPr="005D4A4C">
        <w:rPr>
          <w:rFonts w:ascii="Times New Roman" w:hAnsi="Times New Roman" w:cs="Times New Roman"/>
        </w:rPr>
        <w:t>the south-central interior of British Columbia</w:t>
      </w:r>
      <w:r w:rsidR="009E200B" w:rsidRPr="005D4A4C">
        <w:rPr>
          <w:rFonts w:ascii="Times New Roman" w:hAnsi="Times New Roman" w:cs="Times New Roman"/>
        </w:rPr>
        <w:t>. This territory s</w:t>
      </w:r>
      <w:r w:rsidR="00F44520" w:rsidRPr="005D4A4C">
        <w:rPr>
          <w:rFonts w:ascii="Times New Roman" w:hAnsi="Times New Roman" w:cs="Times New Roman"/>
        </w:rPr>
        <w:t xml:space="preserve">pans </w:t>
      </w:r>
      <w:r w:rsidRPr="005D4A4C">
        <w:rPr>
          <w:rFonts w:ascii="Times New Roman" w:hAnsi="Times New Roman" w:cs="Times New Roman"/>
        </w:rPr>
        <w:t xml:space="preserve">from </w:t>
      </w:r>
      <w:r w:rsidR="003A0D61" w:rsidRPr="005D4A4C">
        <w:rPr>
          <w:rFonts w:ascii="Times New Roman" w:hAnsi="Times New Roman" w:cs="Times New Roman"/>
        </w:rPr>
        <w:t xml:space="preserve">its Northern reaches of the Robson </w:t>
      </w:r>
      <w:r w:rsidR="003F5313" w:rsidRPr="005D4A4C">
        <w:rPr>
          <w:rFonts w:ascii="Times New Roman" w:hAnsi="Times New Roman" w:cs="Times New Roman"/>
        </w:rPr>
        <w:t>Valley, then to the East along the Rocky Mountains to Jasper, then throughout the Columbia River valley due Southwest, and finally,</w:t>
      </w:r>
      <w:r w:rsidR="003A0D61" w:rsidRPr="005D4A4C">
        <w:rPr>
          <w:rFonts w:ascii="Times New Roman" w:hAnsi="Times New Roman" w:cs="Times New Roman"/>
        </w:rPr>
        <w:t xml:space="preserve"> its Southern boundary near Mclure on the North Thompson River.</w:t>
      </w:r>
      <w:r w:rsidR="0090275D" w:rsidRPr="005D4A4C">
        <w:rPr>
          <w:rFonts w:ascii="Times New Roman" w:hAnsi="Times New Roman" w:cs="Times New Roman"/>
        </w:rPr>
        <w:t xml:space="preserve"> </w:t>
      </w:r>
      <w:r w:rsidR="003A0D61" w:rsidRPr="005D4A4C">
        <w:rPr>
          <w:rFonts w:ascii="Times New Roman" w:hAnsi="Times New Roman" w:cs="Times New Roman"/>
        </w:rPr>
        <w:t>The biogeoclimatic zones of</w:t>
      </w:r>
      <w:r w:rsidR="0090275D" w:rsidRPr="005D4A4C">
        <w:rPr>
          <w:rFonts w:ascii="Times New Roman" w:hAnsi="Times New Roman" w:cs="Times New Roman"/>
        </w:rPr>
        <w:t xml:space="preserve"> the</w:t>
      </w:r>
      <w:r w:rsidR="003A0D61" w:rsidRPr="005D4A4C">
        <w:rPr>
          <w:rFonts w:ascii="Times New Roman" w:hAnsi="Times New Roman" w:cs="Times New Roman"/>
        </w:rPr>
        <w:t xml:space="preserve"> Simpcwul’ecw </w:t>
      </w:r>
      <w:r w:rsidR="0090275D" w:rsidRPr="005D4A4C">
        <w:rPr>
          <w:rFonts w:ascii="Times New Roman" w:hAnsi="Times New Roman" w:cs="Times New Roman"/>
        </w:rPr>
        <w:t xml:space="preserve">territory range from </w:t>
      </w:r>
      <w:r w:rsidR="003F5313" w:rsidRPr="005D4A4C">
        <w:rPr>
          <w:rFonts w:ascii="Times New Roman" w:hAnsi="Times New Roman" w:cs="Times New Roman"/>
        </w:rPr>
        <w:t xml:space="preserve">the </w:t>
      </w:r>
      <w:r w:rsidR="0090275D" w:rsidRPr="005D4A4C">
        <w:rPr>
          <w:rFonts w:ascii="Times New Roman" w:hAnsi="Times New Roman" w:cs="Times New Roman"/>
        </w:rPr>
        <w:t xml:space="preserve">Alpine </w:t>
      </w:r>
      <w:r w:rsidR="003A0D61" w:rsidRPr="005D4A4C">
        <w:rPr>
          <w:rFonts w:ascii="Times New Roman" w:hAnsi="Times New Roman" w:cs="Times New Roman"/>
        </w:rPr>
        <w:t>Tundra zone</w:t>
      </w:r>
      <w:r w:rsidR="0090275D" w:rsidRPr="005D4A4C">
        <w:rPr>
          <w:rFonts w:ascii="Times New Roman" w:hAnsi="Times New Roman" w:cs="Times New Roman"/>
        </w:rPr>
        <w:t xml:space="preserve"> at the highest elevations </w:t>
      </w:r>
      <w:r w:rsidR="003A0D61" w:rsidRPr="005D4A4C">
        <w:rPr>
          <w:rFonts w:ascii="Times New Roman" w:hAnsi="Times New Roman" w:cs="Times New Roman"/>
        </w:rPr>
        <w:t>above 1700m to 2300m</w:t>
      </w:r>
      <w:r w:rsidR="003F5313" w:rsidRPr="005D4A4C">
        <w:rPr>
          <w:rFonts w:ascii="Times New Roman" w:hAnsi="Times New Roman" w:cs="Times New Roman"/>
        </w:rPr>
        <w:t>,</w:t>
      </w:r>
      <w:r w:rsidR="0090275D" w:rsidRPr="005D4A4C">
        <w:rPr>
          <w:rFonts w:ascii="Times New Roman" w:hAnsi="Times New Roman" w:cs="Times New Roman"/>
        </w:rPr>
        <w:t xml:space="preserve"> </w:t>
      </w:r>
      <w:r w:rsidR="00AE7B56" w:rsidRPr="005D4A4C">
        <w:rPr>
          <w:rFonts w:ascii="Times New Roman" w:hAnsi="Times New Roman" w:cs="Times New Roman"/>
        </w:rPr>
        <w:t>composed of</w:t>
      </w:r>
      <w:r w:rsidR="0090275D" w:rsidRPr="005D4A4C">
        <w:rPr>
          <w:rFonts w:ascii="Times New Roman" w:hAnsi="Times New Roman" w:cs="Times New Roman"/>
        </w:rPr>
        <w:t xml:space="preserve"> treeless</w:t>
      </w:r>
      <w:r w:rsidR="00AE7B56" w:rsidRPr="005D4A4C">
        <w:rPr>
          <w:rFonts w:ascii="Times New Roman" w:hAnsi="Times New Roman" w:cs="Times New Roman"/>
        </w:rPr>
        <w:t xml:space="preserve"> landscapes</w:t>
      </w:r>
      <w:r w:rsidR="0090275D" w:rsidRPr="005D4A4C">
        <w:rPr>
          <w:rFonts w:ascii="Times New Roman" w:hAnsi="Times New Roman" w:cs="Times New Roman"/>
        </w:rPr>
        <w:t xml:space="preserve"> </w:t>
      </w:r>
      <w:r w:rsidR="00AE7B56" w:rsidRPr="005D4A4C">
        <w:rPr>
          <w:rFonts w:ascii="Times New Roman" w:hAnsi="Times New Roman" w:cs="Times New Roman"/>
        </w:rPr>
        <w:t>with</w:t>
      </w:r>
      <w:r w:rsidR="0090275D" w:rsidRPr="005D4A4C">
        <w:rPr>
          <w:rFonts w:ascii="Times New Roman" w:hAnsi="Times New Roman" w:cs="Times New Roman"/>
        </w:rPr>
        <w:t xml:space="preserve"> cold winters and short growing seasons</w:t>
      </w:r>
      <w:r w:rsidR="009508D0" w:rsidRPr="005D4A4C">
        <w:rPr>
          <w:rFonts w:ascii="Times New Roman" w:hAnsi="Times New Roman" w:cs="Times New Roman"/>
        </w:rPr>
        <w:t>,</w:t>
      </w:r>
      <w:r w:rsidR="0090275D" w:rsidRPr="005D4A4C">
        <w:rPr>
          <w:rFonts w:ascii="Times New Roman" w:hAnsi="Times New Roman" w:cs="Times New Roman"/>
        </w:rPr>
        <w:t xml:space="preserve"> to the Interior Cedar-Hemlock zone between around 400m to 100</w:t>
      </w:r>
      <w:r w:rsidR="009508D0" w:rsidRPr="005D4A4C">
        <w:rPr>
          <w:rFonts w:ascii="Times New Roman" w:hAnsi="Times New Roman" w:cs="Times New Roman"/>
        </w:rPr>
        <w:t xml:space="preserve">0m, which is </w:t>
      </w:r>
      <w:r w:rsidR="003F5313" w:rsidRPr="005D4A4C">
        <w:rPr>
          <w:rFonts w:ascii="Times New Roman" w:hAnsi="Times New Roman" w:cs="Times New Roman"/>
        </w:rPr>
        <w:t>main</w:t>
      </w:r>
      <w:r w:rsidR="009508D0" w:rsidRPr="005D4A4C">
        <w:rPr>
          <w:rFonts w:ascii="Times New Roman" w:hAnsi="Times New Roman" w:cs="Times New Roman"/>
        </w:rPr>
        <w:t>ly cool, wet, and forest dominated</w:t>
      </w:r>
      <w:r w:rsidR="00A5755B" w:rsidRPr="005D4A4C">
        <w:rPr>
          <w:rFonts w:ascii="Times New Roman" w:hAnsi="Times New Roman" w:cs="Times New Roman"/>
        </w:rPr>
        <w:t xml:space="preserve"> </w:t>
      </w:r>
      <w:r w:rsidR="00E37DFE">
        <w:rPr>
          <w:rFonts w:ascii="Times New Roman" w:hAnsi="Times New Roman" w:cs="Times New Roman"/>
        </w:rPr>
        <w:fldChar w:fldCharType="begin"/>
      </w:r>
      <w:r w:rsidR="00260934">
        <w:rPr>
          <w:rFonts w:ascii="Times New Roman" w:hAnsi="Times New Roman" w:cs="Times New Roman"/>
        </w:rPr>
        <w:instrText xml:space="preserve"> ADDIN ZOTERO_ITEM CSL_CITATION {"citationID":"Mn2w5kL4","properties":{"formattedCitation":"(Simpcwc First Nation, 2023)","plainCitation":"(Simpcwc First Nation, 2023)","noteIndex":0},"citationItems":[{"id":1744,"uris":["http://zotero.org/users/7094349/items/QCCYFPP7"],"itemData":{"id":1744,"type":"report","abstract":"The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perspective","publisher":"SFN","title":"Simpcw Interim Stewardship Plan","title-short":"The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perspective","URL":"https://www.simpcw.com › docs › 2023-09-05_si...","author":[{"family":"Simpcwc First Nation","given":""}],"issued":{"date-parts":[["2023",9,5]]}}}],"schema":"https://github.com/citation-style-language/schema/raw/master/csl-citation.json"} </w:instrText>
      </w:r>
      <w:r w:rsidR="00E37DFE">
        <w:rPr>
          <w:rFonts w:ascii="Times New Roman" w:hAnsi="Times New Roman" w:cs="Times New Roman"/>
        </w:rPr>
        <w:fldChar w:fldCharType="separate"/>
      </w:r>
      <w:r w:rsidR="00260934">
        <w:rPr>
          <w:rFonts w:ascii="Times New Roman" w:hAnsi="Times New Roman" w:cs="Times New Roman"/>
          <w:noProof/>
        </w:rPr>
        <w:t>(Simpcwc First Nation, 2023)</w:t>
      </w:r>
      <w:r w:rsidR="00E37DFE">
        <w:rPr>
          <w:rFonts w:ascii="Times New Roman" w:hAnsi="Times New Roman" w:cs="Times New Roman"/>
        </w:rPr>
        <w:fldChar w:fldCharType="end"/>
      </w:r>
      <w:r w:rsidR="009508D0" w:rsidRPr="005D4A4C">
        <w:rPr>
          <w:rFonts w:ascii="Times New Roman" w:hAnsi="Times New Roman" w:cs="Times New Roman"/>
        </w:rPr>
        <w:t xml:space="preserve">. The complexity and richness across the Simpcwul'ecw </w:t>
      </w:r>
      <w:r w:rsidR="00DD0B96" w:rsidRPr="005D4A4C">
        <w:rPr>
          <w:rFonts w:ascii="Times New Roman" w:hAnsi="Times New Roman" w:cs="Times New Roman"/>
        </w:rPr>
        <w:t>support</w:t>
      </w:r>
      <w:r w:rsidR="009508D0" w:rsidRPr="005D4A4C">
        <w:rPr>
          <w:rFonts w:ascii="Times New Roman" w:hAnsi="Times New Roman" w:cs="Times New Roman"/>
        </w:rPr>
        <w:t xml:space="preserve"> significant biodiversity</w:t>
      </w:r>
      <w:r w:rsidR="00876989" w:rsidRPr="005D4A4C">
        <w:rPr>
          <w:rFonts w:ascii="Times New Roman" w:hAnsi="Times New Roman" w:cs="Times New Roman"/>
        </w:rPr>
        <w:t xml:space="preserve"> in flora and fauna</w:t>
      </w:r>
      <w:r w:rsidR="003F5313" w:rsidRPr="005D4A4C">
        <w:rPr>
          <w:rFonts w:ascii="Times New Roman" w:hAnsi="Times New Roman" w:cs="Times New Roman"/>
        </w:rPr>
        <w:t xml:space="preserve">, which </w:t>
      </w:r>
      <w:r w:rsidR="0023489C" w:rsidRPr="005D4A4C">
        <w:rPr>
          <w:rFonts w:ascii="Times New Roman" w:hAnsi="Times New Roman" w:cs="Times New Roman"/>
        </w:rPr>
        <w:t xml:space="preserve">the </w:t>
      </w:r>
      <w:r w:rsidR="003F5313" w:rsidRPr="005D4A4C">
        <w:rPr>
          <w:rFonts w:ascii="Times New Roman" w:hAnsi="Times New Roman" w:cs="Times New Roman"/>
        </w:rPr>
        <w:t>Simpcwemc people</w:t>
      </w:r>
      <w:r w:rsidR="006426DD" w:rsidRPr="005D4A4C">
        <w:rPr>
          <w:rFonts w:ascii="Times New Roman" w:hAnsi="Times New Roman" w:cs="Times New Roman"/>
        </w:rPr>
        <w:t xml:space="preserve"> value deeply</w:t>
      </w:r>
      <w:r w:rsidR="003F5313" w:rsidRPr="005D4A4C">
        <w:rPr>
          <w:rFonts w:ascii="Times New Roman" w:hAnsi="Times New Roman" w:cs="Times New Roman"/>
        </w:rPr>
        <w:t xml:space="preserve">, not only for their usefulness in subsistence and medicine but </w:t>
      </w:r>
      <w:r w:rsidR="004573D9" w:rsidRPr="005D4A4C">
        <w:rPr>
          <w:rFonts w:ascii="Times New Roman" w:hAnsi="Times New Roman" w:cs="Times New Roman"/>
        </w:rPr>
        <w:t xml:space="preserve">also </w:t>
      </w:r>
      <w:r w:rsidR="003F5313" w:rsidRPr="005D4A4C">
        <w:rPr>
          <w:rFonts w:ascii="Times New Roman" w:hAnsi="Times New Roman" w:cs="Times New Roman"/>
        </w:rPr>
        <w:t xml:space="preserve">as prominent teachers in Simpcw </w:t>
      </w:r>
      <w:r w:rsidR="006A0DDA" w:rsidRPr="005D4A4C">
        <w:rPr>
          <w:rFonts w:ascii="Times New Roman" w:hAnsi="Times New Roman" w:cs="Times New Roman"/>
        </w:rPr>
        <w:t>slexéy̓em</w:t>
      </w:r>
      <w:r w:rsidR="00427C67" w:rsidRPr="005D4A4C">
        <w:rPr>
          <w:rFonts w:ascii="Times New Roman" w:hAnsi="Times New Roman" w:cs="Times New Roman"/>
        </w:rPr>
        <w:t xml:space="preserve"> (stories)</w:t>
      </w:r>
      <w:r w:rsidR="002712D4" w:rsidRPr="005D4A4C">
        <w:rPr>
          <w:rFonts w:ascii="Times New Roman" w:hAnsi="Times New Roman" w:cs="Times New Roman"/>
        </w:rPr>
        <w:t xml:space="preserve"> and </w:t>
      </w:r>
      <w:r w:rsidR="003F637E" w:rsidRPr="005D4A4C">
        <w:rPr>
          <w:rFonts w:ascii="Times New Roman" w:hAnsi="Times New Roman" w:cs="Times New Roman"/>
        </w:rPr>
        <w:t>s</w:t>
      </w:r>
      <w:r w:rsidR="00DC564C" w:rsidRPr="005D4A4C">
        <w:rPr>
          <w:rFonts w:ascii="Times New Roman" w:hAnsi="Times New Roman" w:cs="Times New Roman"/>
        </w:rPr>
        <w:t>tsq̓eý (l</w:t>
      </w:r>
      <w:r w:rsidR="002712D4" w:rsidRPr="005D4A4C">
        <w:rPr>
          <w:rFonts w:ascii="Times New Roman" w:hAnsi="Times New Roman" w:cs="Times New Roman"/>
        </w:rPr>
        <w:t>aws</w:t>
      </w:r>
      <w:r w:rsidR="00DC564C" w:rsidRPr="005D4A4C">
        <w:rPr>
          <w:rFonts w:ascii="Times New Roman" w:hAnsi="Times New Roman" w:cs="Times New Roman"/>
        </w:rPr>
        <w:t>)</w:t>
      </w:r>
      <w:r w:rsidR="006A0DDA" w:rsidRPr="005D4A4C">
        <w:rPr>
          <w:rFonts w:ascii="Times New Roman" w:hAnsi="Times New Roman" w:cs="Times New Roman"/>
        </w:rPr>
        <w:t xml:space="preserve"> </w:t>
      </w:r>
      <w:r w:rsidR="00DC65A2">
        <w:rPr>
          <w:rFonts w:ascii="Times New Roman" w:hAnsi="Times New Roman" w:cs="Times New Roman"/>
        </w:rPr>
        <w:fldChar w:fldCharType="begin"/>
      </w:r>
      <w:r w:rsidR="00DC65A2">
        <w:rPr>
          <w:rFonts w:ascii="Times New Roman" w:hAnsi="Times New Roman" w:cs="Times New Roman"/>
        </w:rPr>
        <w:instrText xml:space="preserve"> ADDIN ZOTERO_ITEM CSL_CITATION {"citationID":"vFE6gmJd","properties":{"formattedCitation":"(Simpcwc First Nation, 2012)","plainCitation":"(Simpcwc First Nation, 2012)","noteIndex":0},"citationItems":[{"id":1743,"uris":["http://zotero.org/users/7094349/items/DPIQDLIS"],"itemData":{"id":1743,"type":"report","title":"Traditional Land Use &amp; Ecological Knowledge Study: Public Version","URL":"https://iaac-aeic.gc.ca/050/documents/p61898/100972E.pdf","author":[{"family":"Simpcwc First Nation","given":""}],"issued":{"date-parts":[["2012",8]]}}}],"schema":"https://github.com/citation-style-language/schema/raw/master/csl-citation.json"} </w:instrText>
      </w:r>
      <w:r w:rsidR="00DC65A2">
        <w:rPr>
          <w:rFonts w:ascii="Times New Roman" w:hAnsi="Times New Roman" w:cs="Times New Roman"/>
        </w:rPr>
        <w:fldChar w:fldCharType="separate"/>
      </w:r>
      <w:r w:rsidR="00DC65A2">
        <w:rPr>
          <w:rFonts w:ascii="Times New Roman" w:hAnsi="Times New Roman" w:cs="Times New Roman"/>
          <w:noProof/>
        </w:rPr>
        <w:t>(Simpcwc First Nation, 2012)</w:t>
      </w:r>
      <w:r w:rsidR="00DC65A2">
        <w:rPr>
          <w:rFonts w:ascii="Times New Roman" w:hAnsi="Times New Roman" w:cs="Times New Roman"/>
        </w:rPr>
        <w:fldChar w:fldCharType="end"/>
      </w:r>
      <w:r w:rsidR="00DC65A2">
        <w:rPr>
          <w:rFonts w:ascii="Times New Roman" w:hAnsi="Times New Roman" w:cs="Times New Roman"/>
        </w:rPr>
        <w:t>.</w:t>
      </w:r>
      <w:r w:rsidR="009508D0" w:rsidRPr="005D4A4C">
        <w:rPr>
          <w:rFonts w:ascii="Times New Roman" w:hAnsi="Times New Roman" w:cs="Times New Roman"/>
        </w:rPr>
        <w:t xml:space="preserve"> </w:t>
      </w:r>
    </w:p>
    <w:p w14:paraId="1601DF79" w14:textId="60E6F162" w:rsidR="00BB26C5" w:rsidRPr="005D4A4C" w:rsidRDefault="00BB26C5" w:rsidP="002B367F">
      <w:pPr>
        <w:rPr>
          <w:rFonts w:ascii="Times New Roman" w:hAnsi="Times New Roman" w:cs="Times New Roman"/>
        </w:rPr>
      </w:pPr>
    </w:p>
    <w:p w14:paraId="510977C8" w14:textId="7B28EF2B" w:rsidR="004047E6" w:rsidRPr="005D4A4C" w:rsidRDefault="005F7008" w:rsidP="00EC7FE5">
      <w:pPr>
        <w:ind w:firstLine="720"/>
        <w:rPr>
          <w:rFonts w:ascii="Times New Roman" w:hAnsi="Times New Roman" w:cs="Times New Roman"/>
        </w:rPr>
      </w:pPr>
      <w:r w:rsidRPr="005D4A4C">
        <w:rPr>
          <w:rFonts w:ascii="Times New Roman" w:hAnsi="Times New Roman" w:cs="Times New Roman"/>
        </w:rPr>
        <w:t>Historically, t</w:t>
      </w:r>
      <w:r w:rsidR="00940C60" w:rsidRPr="005D4A4C">
        <w:rPr>
          <w:rFonts w:ascii="Times New Roman" w:hAnsi="Times New Roman" w:cs="Times New Roman"/>
        </w:rPr>
        <w:t>he</w:t>
      </w:r>
      <w:r w:rsidR="00E524D6" w:rsidRPr="005D4A4C">
        <w:rPr>
          <w:rFonts w:ascii="Times New Roman" w:hAnsi="Times New Roman" w:cs="Times New Roman"/>
        </w:rPr>
        <w:t xml:space="preserve"> Simpcwemc looked after</w:t>
      </w:r>
      <w:r w:rsidR="00620692" w:rsidRPr="005D4A4C">
        <w:rPr>
          <w:rFonts w:ascii="Times New Roman" w:hAnsi="Times New Roman" w:cs="Times New Roman"/>
        </w:rPr>
        <w:t xml:space="preserve"> and managed</w:t>
      </w:r>
      <w:r w:rsidR="00E524D6" w:rsidRPr="005D4A4C">
        <w:rPr>
          <w:rFonts w:ascii="Times New Roman" w:hAnsi="Times New Roman" w:cs="Times New Roman"/>
        </w:rPr>
        <w:t xml:space="preserve"> the</w:t>
      </w:r>
      <w:r w:rsidR="0069368D" w:rsidRPr="005D4A4C">
        <w:rPr>
          <w:rFonts w:ascii="Times New Roman" w:hAnsi="Times New Roman" w:cs="Times New Roman"/>
        </w:rPr>
        <w:t xml:space="preserve"> </w:t>
      </w:r>
      <w:r w:rsidR="00F02D2D" w:rsidRPr="005D4A4C">
        <w:rPr>
          <w:rFonts w:ascii="Times New Roman" w:hAnsi="Times New Roman" w:cs="Times New Roman"/>
        </w:rPr>
        <w:t>diverse</w:t>
      </w:r>
      <w:r w:rsidR="008C050D" w:rsidRPr="005D4A4C">
        <w:rPr>
          <w:rFonts w:ascii="Times New Roman" w:hAnsi="Times New Roman" w:cs="Times New Roman"/>
        </w:rPr>
        <w:t xml:space="preserve"> </w:t>
      </w:r>
      <w:r w:rsidR="00F02D2D" w:rsidRPr="005D4A4C">
        <w:rPr>
          <w:rFonts w:ascii="Times New Roman" w:hAnsi="Times New Roman" w:cs="Times New Roman"/>
        </w:rPr>
        <w:t>Simpcwul'ecw landscape</w:t>
      </w:r>
      <w:r w:rsidR="00713FED" w:rsidRPr="005D4A4C">
        <w:rPr>
          <w:rFonts w:ascii="Times New Roman" w:hAnsi="Times New Roman" w:cs="Times New Roman"/>
        </w:rPr>
        <w:t xml:space="preserve"> and its resources </w:t>
      </w:r>
      <w:r w:rsidR="00E524D6" w:rsidRPr="005D4A4C">
        <w:rPr>
          <w:rFonts w:ascii="Times New Roman" w:hAnsi="Times New Roman" w:cs="Times New Roman"/>
        </w:rPr>
        <w:t>through</w:t>
      </w:r>
      <w:r w:rsidR="00541107" w:rsidRPr="005D4A4C">
        <w:rPr>
          <w:rFonts w:ascii="Times New Roman" w:hAnsi="Times New Roman" w:cs="Times New Roman"/>
        </w:rPr>
        <w:t xml:space="preserve"> various</w:t>
      </w:r>
      <w:r w:rsidR="00620692" w:rsidRPr="005D4A4C">
        <w:rPr>
          <w:rFonts w:ascii="Times New Roman" w:hAnsi="Times New Roman" w:cs="Times New Roman"/>
        </w:rPr>
        <w:t xml:space="preserve"> </w:t>
      </w:r>
      <w:r w:rsidR="00541107" w:rsidRPr="005D4A4C">
        <w:rPr>
          <w:rFonts w:ascii="Times New Roman" w:hAnsi="Times New Roman" w:cs="Times New Roman"/>
        </w:rPr>
        <w:t>processes</w:t>
      </w:r>
      <w:r w:rsidR="009A1081">
        <w:rPr>
          <w:rFonts w:ascii="Times New Roman" w:hAnsi="Times New Roman" w:cs="Times New Roman"/>
        </w:rPr>
        <w:t xml:space="preserve"> that were</w:t>
      </w:r>
      <w:r w:rsidR="008D5CFE" w:rsidRPr="005D4A4C">
        <w:rPr>
          <w:rFonts w:ascii="Times New Roman" w:hAnsi="Times New Roman" w:cs="Times New Roman"/>
        </w:rPr>
        <w:t xml:space="preserve"> </w:t>
      </w:r>
      <w:r w:rsidR="00DB735D" w:rsidRPr="005D4A4C">
        <w:rPr>
          <w:rFonts w:ascii="Times New Roman" w:hAnsi="Times New Roman" w:cs="Times New Roman"/>
        </w:rPr>
        <w:t>largely hereditary</w:t>
      </w:r>
      <w:r w:rsidR="002B389C" w:rsidRPr="005D4A4C">
        <w:rPr>
          <w:rFonts w:ascii="Times New Roman" w:hAnsi="Times New Roman" w:cs="Times New Roman"/>
        </w:rPr>
        <w:t xml:space="preserve"> and founded upon Stsq̓eý</w:t>
      </w:r>
      <w:r w:rsidR="00DC65A2">
        <w:rPr>
          <w:rFonts w:ascii="Times New Roman" w:hAnsi="Times New Roman" w:cs="Times New Roman"/>
        </w:rPr>
        <w:t xml:space="preserve"> </w:t>
      </w:r>
      <w:r w:rsidR="001016DC">
        <w:rPr>
          <w:rFonts w:ascii="Times New Roman" w:hAnsi="Times New Roman" w:cs="Times New Roman"/>
        </w:rPr>
        <w:fldChar w:fldCharType="begin"/>
      </w:r>
      <w:r w:rsidR="00764433">
        <w:rPr>
          <w:rFonts w:ascii="Times New Roman" w:hAnsi="Times New Roman" w:cs="Times New Roman"/>
        </w:rPr>
        <w:instrText xml:space="preserve"> ADDIN ZOTERO_ITEM CSL_CITATION {"citationID":"mMsS0P2d","properties":{"formattedCitation":"(Simpcwc First Nation, 2012)","plainCitation":"(Simpcwc First Nation, 2012)","noteIndex":0},"citationItems":[{"id":1743,"uris":["http://zotero.org/users/7094349/items/DPIQDLIS"],"itemData":{"id":1743,"type":"report","title":"Traditional Land Use &amp; Ecological Knowledge Study: Public Version","URL":"https://iaac-aeic.gc.ca/050/documents/p61898/100972E.pdf","author":[{"family":"Simpcwc First Nation","given":""}],"issued":{"date-parts":[["2012",8]]}}}],"schema":"https://github.com/citation-style-language/schema/raw/master/csl-citation.json"} </w:instrText>
      </w:r>
      <w:r w:rsidR="001016DC">
        <w:rPr>
          <w:rFonts w:ascii="Times New Roman" w:hAnsi="Times New Roman" w:cs="Times New Roman"/>
        </w:rPr>
        <w:fldChar w:fldCharType="separate"/>
      </w:r>
      <w:r w:rsidR="00764433">
        <w:rPr>
          <w:rFonts w:ascii="Times New Roman" w:hAnsi="Times New Roman" w:cs="Times New Roman"/>
          <w:noProof/>
        </w:rPr>
        <w:t>(Simpcwc First Nation, 2012)</w:t>
      </w:r>
      <w:r w:rsidR="001016DC">
        <w:rPr>
          <w:rFonts w:ascii="Times New Roman" w:hAnsi="Times New Roman" w:cs="Times New Roman"/>
        </w:rPr>
        <w:fldChar w:fldCharType="end"/>
      </w:r>
      <w:r w:rsidR="009202A1" w:rsidRPr="005D4A4C">
        <w:rPr>
          <w:rFonts w:ascii="Times New Roman" w:hAnsi="Times New Roman" w:cs="Times New Roman"/>
        </w:rPr>
        <w:t>.</w:t>
      </w:r>
      <w:r w:rsidR="00B62D7C" w:rsidRPr="005D4A4C">
        <w:rPr>
          <w:rFonts w:ascii="Times New Roman" w:hAnsi="Times New Roman" w:cs="Times New Roman"/>
        </w:rPr>
        <w:t xml:space="preserve"> The management of tamicw (lands) was</w:t>
      </w:r>
      <w:r w:rsidR="006A0DDA" w:rsidRPr="005D4A4C">
        <w:rPr>
          <w:rFonts w:ascii="Times New Roman" w:hAnsi="Times New Roman" w:cs="Times New Roman"/>
        </w:rPr>
        <w:t xml:space="preserve"> through a process called</w:t>
      </w:r>
      <w:r w:rsidR="00B62D7C" w:rsidRPr="005D4A4C">
        <w:rPr>
          <w:rFonts w:ascii="Times New Roman" w:hAnsi="Times New Roman" w:cs="Times New Roman"/>
        </w:rPr>
        <w:t xml:space="preserve"> </w:t>
      </w:r>
      <w:r w:rsidR="006A0DDA" w:rsidRPr="005D4A4C">
        <w:rPr>
          <w:rFonts w:ascii="Times New Roman" w:hAnsi="Times New Roman" w:cs="Times New Roman"/>
        </w:rPr>
        <w:t>‘</w:t>
      </w:r>
      <w:r w:rsidR="00F02D2D" w:rsidRPr="005D4A4C">
        <w:rPr>
          <w:rFonts w:ascii="Times New Roman" w:hAnsi="Times New Roman" w:cs="Times New Roman"/>
        </w:rPr>
        <w:t>Spallulukw ta Yecweminte re Tamicw</w:t>
      </w:r>
      <w:r w:rsidR="006A0DDA" w:rsidRPr="005D4A4C">
        <w:rPr>
          <w:rFonts w:ascii="Times New Roman" w:hAnsi="Times New Roman" w:cs="Times New Roman"/>
        </w:rPr>
        <w:t>’</w:t>
      </w:r>
      <w:r w:rsidR="00DD7811" w:rsidRPr="005D4A4C">
        <w:rPr>
          <w:rFonts w:ascii="Times New Roman" w:hAnsi="Times New Roman" w:cs="Times New Roman"/>
        </w:rPr>
        <w:t>,</w:t>
      </w:r>
      <w:r w:rsidR="00F02D2D" w:rsidRPr="005D4A4C">
        <w:rPr>
          <w:rFonts w:ascii="Times New Roman" w:hAnsi="Times New Roman" w:cs="Times New Roman"/>
        </w:rPr>
        <w:t xml:space="preserve"> which means to gather for the purposes of looking after the </w:t>
      </w:r>
      <w:r w:rsidR="002B389C" w:rsidRPr="005D4A4C">
        <w:rPr>
          <w:rFonts w:ascii="Times New Roman" w:hAnsi="Times New Roman" w:cs="Times New Roman"/>
        </w:rPr>
        <w:t>l</w:t>
      </w:r>
      <w:r w:rsidR="00F02D2D" w:rsidRPr="005D4A4C">
        <w:rPr>
          <w:rFonts w:ascii="Times New Roman" w:hAnsi="Times New Roman" w:cs="Times New Roman"/>
        </w:rPr>
        <w:t xml:space="preserve">and. </w:t>
      </w:r>
      <w:r w:rsidR="0067057C" w:rsidRPr="005D4A4C">
        <w:rPr>
          <w:rFonts w:ascii="Times New Roman" w:hAnsi="Times New Roman" w:cs="Times New Roman"/>
        </w:rPr>
        <w:t>Every year,</w:t>
      </w:r>
      <w:r w:rsidR="00034C3C" w:rsidRPr="005D4A4C">
        <w:rPr>
          <w:rFonts w:ascii="Times New Roman" w:hAnsi="Times New Roman" w:cs="Times New Roman"/>
        </w:rPr>
        <w:t xml:space="preserve"> the </w:t>
      </w:r>
      <w:r w:rsidR="00EA6593" w:rsidRPr="005D4A4C">
        <w:rPr>
          <w:rFonts w:ascii="Times New Roman" w:hAnsi="Times New Roman" w:cs="Times New Roman"/>
        </w:rPr>
        <w:t xml:space="preserve">hereditary </w:t>
      </w:r>
      <w:r w:rsidR="00034C3C" w:rsidRPr="005D4A4C">
        <w:rPr>
          <w:rFonts w:ascii="Times New Roman" w:hAnsi="Times New Roman" w:cs="Times New Roman"/>
        </w:rPr>
        <w:t xml:space="preserve">Simpcwemc chief </w:t>
      </w:r>
      <w:r w:rsidR="00304E3C" w:rsidRPr="005D4A4C">
        <w:rPr>
          <w:rFonts w:ascii="Times New Roman" w:hAnsi="Times New Roman" w:cs="Times New Roman"/>
        </w:rPr>
        <w:t xml:space="preserve">would meet with </w:t>
      </w:r>
      <w:r w:rsidR="00A83E66" w:rsidRPr="005D4A4C">
        <w:rPr>
          <w:rFonts w:ascii="Times New Roman" w:hAnsi="Times New Roman" w:cs="Times New Roman"/>
        </w:rPr>
        <w:t>Yecweminem (guardians of the land), typically K</w:t>
      </w:r>
      <w:r w:rsidR="00831F30" w:rsidRPr="005D4A4C">
        <w:rPr>
          <w:rFonts w:ascii="Times New Roman" w:hAnsi="Times New Roman" w:cs="Times New Roman"/>
        </w:rPr>
        <w:t xml:space="preserve">weseltken (family leaders), and discuss each </w:t>
      </w:r>
      <w:r w:rsidR="00B702B8" w:rsidRPr="005D4A4C">
        <w:rPr>
          <w:rFonts w:ascii="Times New Roman" w:hAnsi="Times New Roman" w:cs="Times New Roman"/>
        </w:rPr>
        <w:t>group</w:t>
      </w:r>
      <w:r w:rsidR="00905C75" w:rsidRPr="005D4A4C">
        <w:rPr>
          <w:rFonts w:ascii="Times New Roman" w:hAnsi="Times New Roman" w:cs="Times New Roman"/>
        </w:rPr>
        <w:t>’</w:t>
      </w:r>
      <w:r w:rsidR="00B702B8" w:rsidRPr="005D4A4C">
        <w:rPr>
          <w:rFonts w:ascii="Times New Roman" w:hAnsi="Times New Roman" w:cs="Times New Roman"/>
        </w:rPr>
        <w:t>s</w:t>
      </w:r>
      <w:r w:rsidR="00831F30" w:rsidRPr="005D4A4C">
        <w:rPr>
          <w:rFonts w:ascii="Times New Roman" w:hAnsi="Times New Roman" w:cs="Times New Roman"/>
        </w:rPr>
        <w:t xml:space="preserve"> responsibility in </w:t>
      </w:r>
      <w:r w:rsidR="00A83E66" w:rsidRPr="005D4A4C">
        <w:rPr>
          <w:rFonts w:ascii="Times New Roman" w:hAnsi="Times New Roman" w:cs="Times New Roman"/>
        </w:rPr>
        <w:t>caring for</w:t>
      </w:r>
      <w:r w:rsidR="00831F30" w:rsidRPr="005D4A4C">
        <w:rPr>
          <w:rFonts w:ascii="Times New Roman" w:hAnsi="Times New Roman" w:cs="Times New Roman"/>
        </w:rPr>
        <w:t xml:space="preserve"> the land for that year.</w:t>
      </w:r>
      <w:r w:rsidR="00B702B8" w:rsidRPr="005D4A4C">
        <w:rPr>
          <w:rFonts w:ascii="Times New Roman" w:hAnsi="Times New Roman" w:cs="Times New Roman"/>
        </w:rPr>
        <w:t xml:space="preserve"> Typically, specific areas </w:t>
      </w:r>
      <w:r w:rsidR="00905C75" w:rsidRPr="005D4A4C">
        <w:rPr>
          <w:rFonts w:ascii="Times New Roman" w:hAnsi="Times New Roman" w:cs="Times New Roman"/>
        </w:rPr>
        <w:t xml:space="preserve">for hunting, fishing, food, or medicine were cared for by </w:t>
      </w:r>
      <w:r w:rsidR="00CC475D" w:rsidRPr="005D4A4C">
        <w:rPr>
          <w:rFonts w:ascii="Times New Roman" w:hAnsi="Times New Roman" w:cs="Times New Roman"/>
        </w:rPr>
        <w:t>y</w:t>
      </w:r>
      <w:r w:rsidR="00905C75" w:rsidRPr="005D4A4C">
        <w:rPr>
          <w:rFonts w:ascii="Times New Roman" w:hAnsi="Times New Roman" w:cs="Times New Roman"/>
        </w:rPr>
        <w:t>ecweminem</w:t>
      </w:r>
      <w:r w:rsidR="00522967" w:rsidRPr="005D4A4C">
        <w:rPr>
          <w:rFonts w:ascii="Times New Roman" w:hAnsi="Times New Roman" w:cs="Times New Roman"/>
        </w:rPr>
        <w:t xml:space="preserve">, </w:t>
      </w:r>
      <w:r w:rsidR="00CB736A" w:rsidRPr="005D4A4C">
        <w:rPr>
          <w:rFonts w:ascii="Times New Roman" w:hAnsi="Times New Roman" w:cs="Times New Roman"/>
        </w:rPr>
        <w:t xml:space="preserve">and </w:t>
      </w:r>
      <w:r w:rsidR="00940C60" w:rsidRPr="005D4A4C">
        <w:rPr>
          <w:rFonts w:ascii="Times New Roman" w:hAnsi="Times New Roman" w:cs="Times New Roman"/>
        </w:rPr>
        <w:t xml:space="preserve">reciprocal arrangements were commonly made between </w:t>
      </w:r>
      <w:r w:rsidR="00CC475D" w:rsidRPr="005D4A4C">
        <w:rPr>
          <w:rFonts w:ascii="Times New Roman" w:hAnsi="Times New Roman" w:cs="Times New Roman"/>
        </w:rPr>
        <w:t>y</w:t>
      </w:r>
      <w:r w:rsidR="00940C60" w:rsidRPr="005D4A4C">
        <w:rPr>
          <w:rFonts w:ascii="Times New Roman" w:hAnsi="Times New Roman" w:cs="Times New Roman"/>
        </w:rPr>
        <w:t xml:space="preserve">ecweminem </w:t>
      </w:r>
      <w:r w:rsidR="008D5CFE" w:rsidRPr="005D4A4C">
        <w:rPr>
          <w:rFonts w:ascii="Times New Roman" w:hAnsi="Times New Roman" w:cs="Times New Roman"/>
        </w:rPr>
        <w:t>to trade</w:t>
      </w:r>
      <w:r w:rsidR="00940C60" w:rsidRPr="005D4A4C">
        <w:rPr>
          <w:rFonts w:ascii="Times New Roman" w:hAnsi="Times New Roman" w:cs="Times New Roman"/>
        </w:rPr>
        <w:t xml:space="preserve"> </w:t>
      </w:r>
      <w:r w:rsidR="00AB4E5C" w:rsidRPr="005D4A4C">
        <w:rPr>
          <w:rFonts w:ascii="Times New Roman" w:hAnsi="Times New Roman" w:cs="Times New Roman"/>
        </w:rPr>
        <w:t>tmicw</w:t>
      </w:r>
      <w:r w:rsidR="000E1B4D" w:rsidRPr="005D4A4C">
        <w:rPr>
          <w:rFonts w:ascii="Times New Roman" w:hAnsi="Times New Roman" w:cs="Times New Roman"/>
        </w:rPr>
        <w:t xml:space="preserve"> resources</w:t>
      </w:r>
      <w:r w:rsidR="00AB4E5C" w:rsidRPr="005D4A4C">
        <w:rPr>
          <w:rFonts w:ascii="Times New Roman" w:hAnsi="Times New Roman" w:cs="Times New Roman"/>
        </w:rPr>
        <w:t xml:space="preserve"> </w:t>
      </w:r>
      <w:r w:rsidR="00940C60" w:rsidRPr="005D4A4C">
        <w:rPr>
          <w:rFonts w:ascii="Times New Roman" w:hAnsi="Times New Roman" w:cs="Times New Roman"/>
        </w:rPr>
        <w:t>between bands.</w:t>
      </w:r>
      <w:r w:rsidR="00D05DD5" w:rsidRPr="005D4A4C">
        <w:rPr>
          <w:rFonts w:ascii="Times New Roman" w:hAnsi="Times New Roman" w:cs="Times New Roman"/>
        </w:rPr>
        <w:t xml:space="preserve"> </w:t>
      </w:r>
      <w:r w:rsidR="00D90033" w:rsidRPr="005D4A4C">
        <w:rPr>
          <w:rFonts w:ascii="Times New Roman" w:hAnsi="Times New Roman" w:cs="Times New Roman"/>
        </w:rPr>
        <w:t xml:space="preserve">As such, decisions regarding the use and management of </w:t>
      </w:r>
      <w:r w:rsidR="00CC52A6" w:rsidRPr="005D4A4C">
        <w:rPr>
          <w:rFonts w:ascii="Times New Roman" w:hAnsi="Times New Roman" w:cs="Times New Roman"/>
        </w:rPr>
        <w:t xml:space="preserve">tmicw </w:t>
      </w:r>
      <w:r w:rsidR="00D62FE1" w:rsidRPr="005D4A4C">
        <w:rPr>
          <w:rFonts w:ascii="Times New Roman" w:hAnsi="Times New Roman" w:cs="Times New Roman"/>
        </w:rPr>
        <w:t xml:space="preserve">and resources were typically dealt with between </w:t>
      </w:r>
      <w:r w:rsidR="00CC475D" w:rsidRPr="005D4A4C">
        <w:rPr>
          <w:rFonts w:ascii="Times New Roman" w:hAnsi="Times New Roman" w:cs="Times New Roman"/>
        </w:rPr>
        <w:t>y</w:t>
      </w:r>
      <w:r w:rsidR="00D62FE1" w:rsidRPr="005D4A4C">
        <w:rPr>
          <w:rFonts w:ascii="Times New Roman" w:hAnsi="Times New Roman" w:cs="Times New Roman"/>
        </w:rPr>
        <w:t>ecweminem at the regional level</w:t>
      </w:r>
      <w:r w:rsidR="00DD2D10">
        <w:rPr>
          <w:rFonts w:ascii="Times New Roman" w:hAnsi="Times New Roman" w:cs="Times New Roman"/>
        </w:rPr>
        <w:t xml:space="preserve"> first</w:t>
      </w:r>
      <w:r w:rsidR="00D62FE1" w:rsidRPr="005D4A4C">
        <w:rPr>
          <w:rFonts w:ascii="Times New Roman" w:hAnsi="Times New Roman" w:cs="Times New Roman"/>
        </w:rPr>
        <w:t xml:space="preserve">, then at the larger spatial scales, a council of chiefs, elders, and </w:t>
      </w:r>
      <w:r w:rsidR="00CC475D" w:rsidRPr="005D4A4C">
        <w:rPr>
          <w:rFonts w:ascii="Times New Roman" w:hAnsi="Times New Roman" w:cs="Times New Roman"/>
        </w:rPr>
        <w:t>y</w:t>
      </w:r>
      <w:r w:rsidR="00D62FE1" w:rsidRPr="005D4A4C">
        <w:rPr>
          <w:rFonts w:ascii="Times New Roman" w:hAnsi="Times New Roman" w:cs="Times New Roman"/>
        </w:rPr>
        <w:t>ecweminem would meet to discuss their</w:t>
      </w:r>
      <w:r w:rsidR="00D14EB3" w:rsidRPr="005D4A4C">
        <w:rPr>
          <w:rFonts w:ascii="Times New Roman" w:hAnsi="Times New Roman" w:cs="Times New Roman"/>
        </w:rPr>
        <w:t xml:space="preserve"> management</w:t>
      </w:r>
      <w:r w:rsidR="00D62FE1" w:rsidRPr="005D4A4C">
        <w:rPr>
          <w:rFonts w:ascii="Times New Roman" w:hAnsi="Times New Roman" w:cs="Times New Roman"/>
        </w:rPr>
        <w:t>.</w:t>
      </w:r>
    </w:p>
    <w:p w14:paraId="21723941" w14:textId="475DA676" w:rsidR="004047E6" w:rsidRPr="005D4A4C" w:rsidRDefault="004047E6" w:rsidP="002B367F">
      <w:pPr>
        <w:rPr>
          <w:rFonts w:ascii="Times New Roman" w:hAnsi="Times New Roman" w:cs="Times New Roman"/>
        </w:rPr>
      </w:pPr>
    </w:p>
    <w:p w14:paraId="23162141" w14:textId="527D1E81" w:rsidR="00F44520" w:rsidRPr="005D4A4C" w:rsidRDefault="00835E0D" w:rsidP="00EC7FE5">
      <w:pPr>
        <w:ind w:firstLine="720"/>
        <w:rPr>
          <w:rFonts w:ascii="Times New Roman" w:hAnsi="Times New Roman" w:cs="Times New Roman"/>
        </w:rPr>
      </w:pPr>
      <w:r w:rsidRPr="005D4A4C">
        <w:rPr>
          <w:rFonts w:ascii="Times New Roman" w:hAnsi="Times New Roman" w:cs="Times New Roman"/>
        </w:rPr>
        <w:t>Today, the</w:t>
      </w:r>
      <w:r w:rsidR="00FC0465" w:rsidRPr="005D4A4C">
        <w:rPr>
          <w:rFonts w:ascii="Times New Roman" w:hAnsi="Times New Roman" w:cs="Times New Roman"/>
        </w:rPr>
        <w:t xml:space="preserve"> Simpcwc</w:t>
      </w:r>
      <w:r w:rsidRPr="005D4A4C">
        <w:rPr>
          <w:rFonts w:ascii="Times New Roman" w:hAnsi="Times New Roman" w:cs="Times New Roman"/>
        </w:rPr>
        <w:t xml:space="preserve"> governing body </w:t>
      </w:r>
      <w:r w:rsidR="00273A10" w:rsidRPr="005D4A4C">
        <w:rPr>
          <w:rFonts w:ascii="Times New Roman" w:hAnsi="Times New Roman" w:cs="Times New Roman"/>
        </w:rPr>
        <w:t>manages its lands</w:t>
      </w:r>
      <w:r w:rsidR="00D62FE1" w:rsidRPr="005D4A4C">
        <w:rPr>
          <w:rFonts w:ascii="Times New Roman" w:hAnsi="Times New Roman" w:cs="Times New Roman"/>
        </w:rPr>
        <w:t xml:space="preserve"> and resources</w:t>
      </w:r>
      <w:r w:rsidR="00273A10" w:rsidRPr="005D4A4C">
        <w:rPr>
          <w:rFonts w:ascii="Times New Roman" w:hAnsi="Times New Roman" w:cs="Times New Roman"/>
        </w:rPr>
        <w:t xml:space="preserve"> based upon a</w:t>
      </w:r>
      <w:r w:rsidRPr="005D4A4C">
        <w:rPr>
          <w:rFonts w:ascii="Times New Roman" w:hAnsi="Times New Roman" w:cs="Times New Roman"/>
        </w:rPr>
        <w:t xml:space="preserve"> foundation of</w:t>
      </w:r>
      <w:r w:rsidR="00FC0465" w:rsidRPr="005D4A4C">
        <w:rPr>
          <w:rFonts w:ascii="Times New Roman" w:hAnsi="Times New Roman" w:cs="Times New Roman"/>
        </w:rPr>
        <w:t xml:space="preserve"> Simpcwemc </w:t>
      </w:r>
      <w:r w:rsidR="001C1AF7" w:rsidRPr="005D4A4C">
        <w:rPr>
          <w:rFonts w:ascii="Times New Roman" w:hAnsi="Times New Roman" w:cs="Times New Roman"/>
        </w:rPr>
        <w:t>princip</w:t>
      </w:r>
      <w:r w:rsidR="00895E93" w:rsidRPr="005D4A4C">
        <w:rPr>
          <w:rFonts w:ascii="Times New Roman" w:hAnsi="Times New Roman" w:cs="Times New Roman"/>
        </w:rPr>
        <w:t>le</w:t>
      </w:r>
      <w:r w:rsidR="001C1AF7" w:rsidRPr="005D4A4C">
        <w:rPr>
          <w:rFonts w:ascii="Times New Roman" w:hAnsi="Times New Roman" w:cs="Times New Roman"/>
        </w:rPr>
        <w:t>s</w:t>
      </w:r>
      <w:r w:rsidR="00D14EB3" w:rsidRPr="005D4A4C">
        <w:rPr>
          <w:rFonts w:ascii="Times New Roman" w:hAnsi="Times New Roman" w:cs="Times New Roman"/>
        </w:rPr>
        <w:t>,</w:t>
      </w:r>
      <w:r w:rsidR="00CA3F18" w:rsidRPr="005D4A4C">
        <w:rPr>
          <w:rFonts w:ascii="Times New Roman" w:hAnsi="Times New Roman" w:cs="Times New Roman"/>
        </w:rPr>
        <w:t xml:space="preserve"> </w:t>
      </w:r>
      <w:r w:rsidR="00403C02" w:rsidRPr="005D4A4C">
        <w:rPr>
          <w:rFonts w:ascii="Times New Roman" w:hAnsi="Times New Roman" w:cs="Times New Roman"/>
        </w:rPr>
        <w:t>similar to Spallulukw ta Yecweminte re Tamicw</w:t>
      </w:r>
      <w:r w:rsidR="00183BFD">
        <w:rPr>
          <w:rFonts w:ascii="Times New Roman" w:hAnsi="Times New Roman" w:cs="Times New Roman"/>
        </w:rPr>
        <w:t xml:space="preserve"> </w:t>
      </w:r>
      <w:r w:rsidR="00183BFD">
        <w:rPr>
          <w:rFonts w:ascii="Times New Roman" w:hAnsi="Times New Roman" w:cs="Times New Roman"/>
        </w:rPr>
        <w:fldChar w:fldCharType="begin"/>
      </w:r>
      <w:r w:rsidR="006329B1">
        <w:rPr>
          <w:rFonts w:ascii="Times New Roman" w:hAnsi="Times New Roman" w:cs="Times New Roman"/>
        </w:rPr>
        <w:instrText xml:space="preserve"> ADDIN ZOTERO_ITEM CSL_CITATION {"citationID":"J1Hc0LJl","properties":{"formattedCitation":"(Simpcwc First Nation, 2023)","plainCitation":"(Simpcwc First Nation, 2023)","noteIndex":0},"citationItems":[{"id":1744,"uris":["http://zotero.org/users/7094349/items/QCCYFPP7"],"itemData":{"id":1744,"type":"report","abstract":"The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perspective","publisher":"SFN","title":"Simpcw Interim Stewardship Plan","title-short":"The Simpcw Interim Stewardship Plan establishes Standards of Practice (SOP) which govern how natural resource activities are performed to ensure the continued health and wellbeing of the tmicw (land), tmesmescén (wildlife), séwllkwe (waters), and qelmúcw (people) from a Simpcw perspective","URL":"https://www.simpcw.com › docs › 2023-09-05_si...","author":[{"family":"Simpcwc First Nation","given":""}],"issued":{"date-parts":[["2023",9,5]]}}}],"schema":"https://github.com/citation-style-language/schema/raw/master/csl-citation.json"} </w:instrText>
      </w:r>
      <w:r w:rsidR="00183BFD">
        <w:rPr>
          <w:rFonts w:ascii="Times New Roman" w:hAnsi="Times New Roman" w:cs="Times New Roman"/>
        </w:rPr>
        <w:fldChar w:fldCharType="separate"/>
      </w:r>
      <w:r w:rsidR="006329B1">
        <w:rPr>
          <w:rFonts w:ascii="Times New Roman" w:hAnsi="Times New Roman" w:cs="Times New Roman"/>
          <w:noProof/>
        </w:rPr>
        <w:t>(Simpcwc First Nation, 2023)</w:t>
      </w:r>
      <w:r w:rsidR="00183BFD">
        <w:rPr>
          <w:rFonts w:ascii="Times New Roman" w:hAnsi="Times New Roman" w:cs="Times New Roman"/>
        </w:rPr>
        <w:fldChar w:fldCharType="end"/>
      </w:r>
      <w:r w:rsidR="001C1AF7" w:rsidRPr="005D4A4C">
        <w:rPr>
          <w:rFonts w:ascii="Times New Roman" w:hAnsi="Times New Roman" w:cs="Times New Roman"/>
        </w:rPr>
        <w:t>. These principals are derived from</w:t>
      </w:r>
      <w:r w:rsidR="006B410C" w:rsidRPr="005D4A4C">
        <w:rPr>
          <w:rFonts w:ascii="Times New Roman" w:hAnsi="Times New Roman" w:cs="Times New Roman"/>
        </w:rPr>
        <w:t xml:space="preserve"> </w:t>
      </w:r>
      <w:r w:rsidR="003F637E" w:rsidRPr="005D4A4C">
        <w:rPr>
          <w:rFonts w:ascii="Times New Roman" w:hAnsi="Times New Roman" w:cs="Times New Roman"/>
        </w:rPr>
        <w:t>slexéy̓em and stsq̓eý</w:t>
      </w:r>
      <w:r w:rsidR="00895E93" w:rsidRPr="005D4A4C">
        <w:rPr>
          <w:rFonts w:ascii="Times New Roman" w:hAnsi="Times New Roman" w:cs="Times New Roman"/>
        </w:rPr>
        <w:t>, which set the foundations for how the Simpcwemc take care of</w:t>
      </w:r>
      <w:r w:rsidR="00ED07E8" w:rsidRPr="005D4A4C">
        <w:rPr>
          <w:rFonts w:ascii="Times New Roman" w:hAnsi="Times New Roman" w:cs="Times New Roman"/>
        </w:rPr>
        <w:t xml:space="preserve"> </w:t>
      </w:r>
      <w:r w:rsidR="006B410C" w:rsidRPr="005D4A4C">
        <w:rPr>
          <w:rFonts w:ascii="Times New Roman" w:hAnsi="Times New Roman" w:cs="Times New Roman"/>
        </w:rPr>
        <w:t xml:space="preserve">the natural world </w:t>
      </w:r>
      <w:r w:rsidR="00ED07E8" w:rsidRPr="005D4A4C">
        <w:rPr>
          <w:rFonts w:ascii="Times New Roman" w:hAnsi="Times New Roman" w:cs="Times New Roman"/>
        </w:rPr>
        <w:t xml:space="preserve">as yecwemínmen. </w:t>
      </w:r>
      <w:r w:rsidR="006B410C" w:rsidRPr="005D4A4C">
        <w:rPr>
          <w:rFonts w:ascii="Times New Roman" w:hAnsi="Times New Roman" w:cs="Times New Roman"/>
        </w:rPr>
        <w:t>Yecwmenúlecw</w:t>
      </w:r>
      <w:r w:rsidR="00A91E59" w:rsidRPr="005D4A4C">
        <w:rPr>
          <w:rFonts w:ascii="Times New Roman" w:hAnsi="Times New Roman" w:cs="Times New Roman"/>
        </w:rPr>
        <w:t xml:space="preserve"> means to take care of the land, and the Simpwc exerts this principle</w:t>
      </w:r>
      <w:r w:rsidR="00273A10" w:rsidRPr="005D4A4C">
        <w:rPr>
          <w:rFonts w:ascii="Times New Roman" w:hAnsi="Times New Roman" w:cs="Times New Roman"/>
        </w:rPr>
        <w:t xml:space="preserve"> </w:t>
      </w:r>
      <w:r w:rsidR="00895E93" w:rsidRPr="005D4A4C">
        <w:rPr>
          <w:rFonts w:ascii="Times New Roman" w:hAnsi="Times New Roman" w:cs="Times New Roman"/>
        </w:rPr>
        <w:t>by</w:t>
      </w:r>
      <w:r w:rsidR="00273A10" w:rsidRPr="005D4A4C">
        <w:rPr>
          <w:rFonts w:ascii="Times New Roman" w:hAnsi="Times New Roman" w:cs="Times New Roman"/>
        </w:rPr>
        <w:t xml:space="preserve"> enabling collaborative and inclusive participation </w:t>
      </w:r>
      <w:r w:rsidR="009B54E7" w:rsidRPr="005D4A4C">
        <w:rPr>
          <w:rFonts w:ascii="Times New Roman" w:hAnsi="Times New Roman" w:cs="Times New Roman"/>
        </w:rPr>
        <w:t xml:space="preserve">for the </w:t>
      </w:r>
      <w:bookmarkStart w:id="1" w:name="OLE_LINK1"/>
      <w:bookmarkStart w:id="2" w:name="OLE_LINK2"/>
      <w:r w:rsidR="009B54E7" w:rsidRPr="005D4A4C">
        <w:rPr>
          <w:rFonts w:ascii="Times New Roman" w:hAnsi="Times New Roman" w:cs="Times New Roman"/>
        </w:rPr>
        <w:t>Simpcwemc community</w:t>
      </w:r>
      <w:bookmarkEnd w:id="1"/>
      <w:bookmarkEnd w:id="2"/>
      <w:r w:rsidR="009B54E7" w:rsidRPr="005D4A4C">
        <w:rPr>
          <w:rFonts w:ascii="Times New Roman" w:hAnsi="Times New Roman" w:cs="Times New Roman"/>
        </w:rPr>
        <w:t xml:space="preserve"> </w:t>
      </w:r>
      <w:r w:rsidR="00273A10" w:rsidRPr="005D4A4C">
        <w:rPr>
          <w:rFonts w:ascii="Times New Roman" w:hAnsi="Times New Roman" w:cs="Times New Roman"/>
        </w:rPr>
        <w:t xml:space="preserve">in </w:t>
      </w:r>
      <w:r w:rsidR="00121CB6" w:rsidRPr="005D4A4C">
        <w:rPr>
          <w:rFonts w:ascii="Times New Roman" w:hAnsi="Times New Roman" w:cs="Times New Roman"/>
        </w:rPr>
        <w:t>developing</w:t>
      </w:r>
      <w:r w:rsidR="00273A10" w:rsidRPr="005D4A4C">
        <w:rPr>
          <w:rFonts w:ascii="Times New Roman" w:hAnsi="Times New Roman" w:cs="Times New Roman"/>
        </w:rPr>
        <w:t xml:space="preserve"> policy on </w:t>
      </w:r>
      <w:r w:rsidR="00273A10" w:rsidRPr="005D4A4C">
        <w:rPr>
          <w:rFonts w:ascii="Times New Roman" w:hAnsi="Times New Roman" w:cs="Times New Roman"/>
        </w:rPr>
        <w:lastRenderedPageBreak/>
        <w:t xml:space="preserve">natural resources. </w:t>
      </w:r>
      <w:r w:rsidR="006B410C" w:rsidRPr="005D4A4C">
        <w:rPr>
          <w:rFonts w:ascii="Times New Roman" w:hAnsi="Times New Roman" w:cs="Times New Roman"/>
        </w:rPr>
        <w:t>Tknémentem</w:t>
      </w:r>
      <w:r w:rsidR="008C2D2D" w:rsidRPr="005D4A4C">
        <w:rPr>
          <w:rFonts w:ascii="Times New Roman" w:hAnsi="Times New Roman" w:cs="Times New Roman"/>
        </w:rPr>
        <w:t xml:space="preserve"> means to preserve the </w:t>
      </w:r>
      <w:r w:rsidR="009B54E7" w:rsidRPr="005D4A4C">
        <w:rPr>
          <w:rFonts w:ascii="Times New Roman" w:hAnsi="Times New Roman" w:cs="Times New Roman"/>
        </w:rPr>
        <w:t>land</w:t>
      </w:r>
      <w:r w:rsidR="008C2D2D" w:rsidRPr="005D4A4C">
        <w:rPr>
          <w:rFonts w:ascii="Times New Roman" w:hAnsi="Times New Roman" w:cs="Times New Roman"/>
        </w:rPr>
        <w:t xml:space="preserve"> </w:t>
      </w:r>
      <w:r w:rsidR="00273A10" w:rsidRPr="005D4A4C">
        <w:rPr>
          <w:rFonts w:ascii="Times New Roman" w:hAnsi="Times New Roman" w:cs="Times New Roman"/>
        </w:rPr>
        <w:t xml:space="preserve">and is the practice of </w:t>
      </w:r>
      <w:r w:rsidR="008230F7" w:rsidRPr="005D4A4C">
        <w:rPr>
          <w:rFonts w:ascii="Times New Roman" w:hAnsi="Times New Roman" w:cs="Times New Roman"/>
        </w:rPr>
        <w:t xml:space="preserve">protecting areas deemed </w:t>
      </w:r>
      <w:r w:rsidR="008C2D2D" w:rsidRPr="005D4A4C">
        <w:rPr>
          <w:rFonts w:ascii="Times New Roman" w:hAnsi="Times New Roman" w:cs="Times New Roman"/>
        </w:rPr>
        <w:t>necessary</w:t>
      </w:r>
      <w:r w:rsidR="008230F7" w:rsidRPr="005D4A4C">
        <w:rPr>
          <w:rFonts w:ascii="Times New Roman" w:hAnsi="Times New Roman" w:cs="Times New Roman"/>
        </w:rPr>
        <w:t xml:space="preserve"> </w:t>
      </w:r>
      <w:r w:rsidR="002D6BD1" w:rsidRPr="005D4A4C">
        <w:rPr>
          <w:rFonts w:ascii="Times New Roman" w:hAnsi="Times New Roman" w:cs="Times New Roman"/>
        </w:rPr>
        <w:t>to</w:t>
      </w:r>
      <w:r w:rsidR="008230F7" w:rsidRPr="005D4A4C">
        <w:rPr>
          <w:rFonts w:ascii="Times New Roman" w:hAnsi="Times New Roman" w:cs="Times New Roman"/>
        </w:rPr>
        <w:t xml:space="preserve"> the </w:t>
      </w:r>
      <w:r w:rsidR="002D6BD1" w:rsidRPr="005D4A4C">
        <w:rPr>
          <w:rFonts w:ascii="Times New Roman" w:hAnsi="Times New Roman" w:cs="Times New Roman"/>
        </w:rPr>
        <w:t xml:space="preserve">Simpcwemc </w:t>
      </w:r>
      <w:r w:rsidR="008230F7" w:rsidRPr="005D4A4C">
        <w:rPr>
          <w:rFonts w:ascii="Times New Roman" w:hAnsi="Times New Roman" w:cs="Times New Roman"/>
        </w:rPr>
        <w:t>community in the Yecwmenúlecw processes.</w:t>
      </w:r>
      <w:r w:rsidR="006B410C" w:rsidRPr="005D4A4C">
        <w:rPr>
          <w:rFonts w:ascii="Times New Roman" w:hAnsi="Times New Roman" w:cs="Times New Roman"/>
        </w:rPr>
        <w:t xml:space="preserve"> </w:t>
      </w:r>
      <w:r w:rsidR="008230F7" w:rsidRPr="005D4A4C">
        <w:rPr>
          <w:rFonts w:ascii="Times New Roman" w:hAnsi="Times New Roman" w:cs="Times New Roman"/>
        </w:rPr>
        <w:t xml:space="preserve">Finally, </w:t>
      </w:r>
      <w:r w:rsidR="006B410C" w:rsidRPr="005D4A4C">
        <w:rPr>
          <w:rFonts w:ascii="Times New Roman" w:hAnsi="Times New Roman" w:cs="Times New Roman"/>
        </w:rPr>
        <w:t>Xyemstém</w:t>
      </w:r>
      <w:r w:rsidR="008230F7" w:rsidRPr="005D4A4C">
        <w:rPr>
          <w:rFonts w:ascii="Times New Roman" w:hAnsi="Times New Roman" w:cs="Times New Roman"/>
        </w:rPr>
        <w:t xml:space="preserve"> means to respect</w:t>
      </w:r>
      <w:r w:rsidR="006B410C" w:rsidRPr="005D4A4C">
        <w:rPr>
          <w:rFonts w:ascii="Times New Roman" w:hAnsi="Times New Roman" w:cs="Times New Roman"/>
        </w:rPr>
        <w:t xml:space="preserve"> the </w:t>
      </w:r>
      <w:r w:rsidR="008230F7" w:rsidRPr="005D4A4C">
        <w:rPr>
          <w:rFonts w:ascii="Times New Roman" w:hAnsi="Times New Roman" w:cs="Times New Roman"/>
        </w:rPr>
        <w:t>e</w:t>
      </w:r>
      <w:r w:rsidR="006B410C" w:rsidRPr="005D4A4C">
        <w:rPr>
          <w:rFonts w:ascii="Times New Roman" w:hAnsi="Times New Roman" w:cs="Times New Roman"/>
        </w:rPr>
        <w:t>arth</w:t>
      </w:r>
      <w:r w:rsidR="008230F7" w:rsidRPr="005D4A4C">
        <w:rPr>
          <w:rFonts w:ascii="Times New Roman" w:hAnsi="Times New Roman" w:cs="Times New Roman"/>
        </w:rPr>
        <w:t>,</w:t>
      </w:r>
      <w:r w:rsidR="006B410C" w:rsidRPr="005D4A4C">
        <w:rPr>
          <w:rFonts w:ascii="Times New Roman" w:hAnsi="Times New Roman" w:cs="Times New Roman"/>
        </w:rPr>
        <w:t xml:space="preserve"> </w:t>
      </w:r>
      <w:r w:rsidR="002D6BD1" w:rsidRPr="005D4A4C">
        <w:rPr>
          <w:rFonts w:ascii="Times New Roman" w:hAnsi="Times New Roman" w:cs="Times New Roman"/>
        </w:rPr>
        <w:t xml:space="preserve">which is embodied within the policies of preserving lands themselves, where </w:t>
      </w:r>
      <w:r w:rsidR="0009358C" w:rsidRPr="005D4A4C">
        <w:rPr>
          <w:rFonts w:ascii="Times New Roman" w:hAnsi="Times New Roman" w:cs="Times New Roman"/>
        </w:rPr>
        <w:t>the Simpcwemc community sets forth</w:t>
      </w:r>
      <w:r w:rsidR="008C2D2D" w:rsidRPr="005D4A4C">
        <w:rPr>
          <w:rFonts w:ascii="Times New Roman" w:hAnsi="Times New Roman" w:cs="Times New Roman"/>
        </w:rPr>
        <w:t xml:space="preserve"> the priorities for the</w:t>
      </w:r>
      <w:r w:rsidR="002D6BD1" w:rsidRPr="005D4A4C">
        <w:rPr>
          <w:rFonts w:ascii="Times New Roman" w:hAnsi="Times New Roman" w:cs="Times New Roman"/>
        </w:rPr>
        <w:t xml:space="preserve"> </w:t>
      </w:r>
      <w:r w:rsidR="006B410C" w:rsidRPr="005D4A4C">
        <w:rPr>
          <w:rFonts w:ascii="Times New Roman" w:hAnsi="Times New Roman" w:cs="Times New Roman"/>
        </w:rPr>
        <w:t>development within Simpcwúlecw.</w:t>
      </w:r>
    </w:p>
    <w:p w14:paraId="511894B4" w14:textId="77777777" w:rsidR="00F44520" w:rsidRPr="005D4A4C" w:rsidRDefault="00F44520" w:rsidP="002B367F">
      <w:pPr>
        <w:rPr>
          <w:rFonts w:ascii="Times New Roman" w:hAnsi="Times New Roman" w:cs="Times New Roman"/>
        </w:rPr>
      </w:pPr>
    </w:p>
    <w:p w14:paraId="58D0CE08" w14:textId="5C415781" w:rsidR="00A607AE" w:rsidRDefault="00881882" w:rsidP="00A607AE">
      <w:pPr>
        <w:ind w:firstLine="720"/>
        <w:rPr>
          <w:rFonts w:ascii="Times New Roman" w:hAnsi="Times New Roman" w:cs="Times New Roman"/>
        </w:rPr>
      </w:pPr>
      <w:r w:rsidRPr="005D4A4C">
        <w:rPr>
          <w:rFonts w:ascii="Times New Roman" w:hAnsi="Times New Roman" w:cs="Times New Roman"/>
          <w:lang w:val="en-US"/>
        </w:rPr>
        <w:t>Simpcwc l</w:t>
      </w:r>
      <w:r w:rsidR="00A26571" w:rsidRPr="005D4A4C">
        <w:rPr>
          <w:rFonts w:ascii="Times New Roman" w:hAnsi="Times New Roman" w:cs="Times New Roman"/>
          <w:lang w:val="en-US"/>
        </w:rPr>
        <w:t>ands and resources are managed</w:t>
      </w:r>
      <w:r w:rsidR="007B6924" w:rsidRPr="005D4A4C">
        <w:rPr>
          <w:rFonts w:ascii="Times New Roman" w:hAnsi="Times New Roman" w:cs="Times New Roman"/>
          <w:lang w:val="en-US"/>
        </w:rPr>
        <w:t xml:space="preserve"> in practice</w:t>
      </w:r>
      <w:r w:rsidR="00A26571" w:rsidRPr="005D4A4C">
        <w:rPr>
          <w:rFonts w:ascii="Times New Roman" w:hAnsi="Times New Roman" w:cs="Times New Roman"/>
          <w:lang w:val="en-US"/>
        </w:rPr>
        <w:t xml:space="preserve"> through a </w:t>
      </w:r>
      <w:r w:rsidRPr="005D4A4C">
        <w:rPr>
          <w:rFonts w:ascii="Times New Roman" w:hAnsi="Times New Roman" w:cs="Times New Roman"/>
          <w:lang w:val="en-US"/>
        </w:rPr>
        <w:t xml:space="preserve">collaborative process between the elected </w:t>
      </w:r>
      <w:r w:rsidR="00E06C16" w:rsidRPr="005D4A4C">
        <w:rPr>
          <w:rFonts w:ascii="Times New Roman" w:hAnsi="Times New Roman" w:cs="Times New Roman"/>
          <w:lang w:val="en-US"/>
        </w:rPr>
        <w:t>Kúkwpi7</w:t>
      </w:r>
      <w:r w:rsidRPr="005D4A4C">
        <w:rPr>
          <w:rFonts w:ascii="Times New Roman" w:hAnsi="Times New Roman" w:cs="Times New Roman"/>
          <w:lang w:val="en-US"/>
        </w:rPr>
        <w:t xml:space="preserve"> and </w:t>
      </w:r>
      <w:r w:rsidR="00E06C16" w:rsidRPr="005D4A4C">
        <w:rPr>
          <w:rFonts w:ascii="Times New Roman" w:hAnsi="Times New Roman" w:cs="Times New Roman"/>
          <w:lang w:val="en-US"/>
        </w:rPr>
        <w:t xml:space="preserve">Tk’wenem7i’ple7 (Chief and </w:t>
      </w:r>
      <w:r w:rsidR="00DA1113" w:rsidRPr="005D4A4C">
        <w:rPr>
          <w:rFonts w:ascii="Times New Roman" w:hAnsi="Times New Roman" w:cs="Times New Roman"/>
          <w:lang w:val="en-US"/>
        </w:rPr>
        <w:t>C</w:t>
      </w:r>
      <w:r w:rsidRPr="005D4A4C">
        <w:rPr>
          <w:rFonts w:ascii="Times New Roman" w:hAnsi="Times New Roman" w:cs="Times New Roman"/>
          <w:lang w:val="en-US"/>
        </w:rPr>
        <w:t>ouncil</w:t>
      </w:r>
      <w:r w:rsidR="00E06C16" w:rsidRPr="005D4A4C">
        <w:rPr>
          <w:rFonts w:ascii="Times New Roman" w:hAnsi="Times New Roman" w:cs="Times New Roman"/>
          <w:lang w:val="en-US"/>
        </w:rPr>
        <w:t>)</w:t>
      </w:r>
      <w:r w:rsidRPr="005D4A4C">
        <w:rPr>
          <w:rFonts w:ascii="Times New Roman" w:hAnsi="Times New Roman" w:cs="Times New Roman"/>
          <w:lang w:val="en-US"/>
        </w:rPr>
        <w:t>,</w:t>
      </w:r>
      <w:r w:rsidR="0047577B" w:rsidRPr="005D4A4C">
        <w:rPr>
          <w:rFonts w:ascii="Times New Roman" w:hAnsi="Times New Roman" w:cs="Times New Roman"/>
          <w:lang w:val="en-US"/>
        </w:rPr>
        <w:t xml:space="preserve"> </w:t>
      </w:r>
      <w:r w:rsidR="000E69AC" w:rsidRPr="005D4A4C">
        <w:rPr>
          <w:rFonts w:ascii="Times New Roman" w:hAnsi="Times New Roman" w:cs="Times New Roman"/>
          <w:lang w:val="en-US"/>
        </w:rPr>
        <w:t>the Lands Department</w:t>
      </w:r>
      <w:r w:rsidR="0047577B" w:rsidRPr="005D4A4C">
        <w:rPr>
          <w:rFonts w:ascii="Times New Roman" w:hAnsi="Times New Roman" w:cs="Times New Roman"/>
          <w:lang w:val="en-US"/>
        </w:rPr>
        <w:t xml:space="preserve">, </w:t>
      </w:r>
      <w:r w:rsidR="000E69AC" w:rsidRPr="005D4A4C">
        <w:rPr>
          <w:rFonts w:ascii="Times New Roman" w:hAnsi="Times New Roman" w:cs="Times New Roman"/>
          <w:lang w:val="en-US"/>
        </w:rPr>
        <w:t>the Sustainable Resource Department</w:t>
      </w:r>
      <w:r w:rsidR="0047577B" w:rsidRPr="005D4A4C">
        <w:rPr>
          <w:rFonts w:ascii="Times New Roman" w:hAnsi="Times New Roman" w:cs="Times New Roman"/>
          <w:lang w:val="en-US"/>
        </w:rPr>
        <w:t xml:space="preserve">, and the </w:t>
      </w:r>
      <w:r w:rsidR="0047577B" w:rsidRPr="005D4A4C">
        <w:rPr>
          <w:rFonts w:ascii="Times New Roman" w:hAnsi="Times New Roman" w:cs="Times New Roman"/>
        </w:rPr>
        <w:t>Simpcwemc community</w:t>
      </w:r>
      <w:r w:rsidR="006329B1">
        <w:rPr>
          <w:rFonts w:ascii="Times New Roman" w:hAnsi="Times New Roman" w:cs="Times New Roman"/>
        </w:rPr>
        <w:t xml:space="preserve"> </w:t>
      </w:r>
      <w:r w:rsidR="006329B1">
        <w:rPr>
          <w:rFonts w:ascii="Times New Roman" w:hAnsi="Times New Roman" w:cs="Times New Roman"/>
        </w:rPr>
        <w:fldChar w:fldCharType="begin"/>
      </w:r>
      <w:r w:rsidR="00387404">
        <w:rPr>
          <w:rFonts w:ascii="Times New Roman" w:hAnsi="Times New Roman" w:cs="Times New Roman"/>
        </w:rPr>
        <w:instrText xml:space="preserve"> ADDIN ZOTERO_ITEM CSL_CITATION {"citationID":"zBT42gno","properties":{"formattedCitation":"(Laurie\\uc0\\u160{}McNeil\\uc0\\u160{}&amp;\\uc0\\u160{}Associates, 2012; National Centre for First Nations, 2020)","plainCitation":"(Laurie McNeil &amp; Associates, 2012; National Centre for First Nations, 2020)","noteIndex":0},"citationItems":[{"id":1742,"uris":["http://zotero.org/users/7094349/items/BNCFS6HB"],"itemData":{"id":1742,"type":"report","title":"Harper Creek Copper|Gold|Silver Mine Project:  Socio-Economic Assessment Report  – First Nations Overview","URL":"https://iaac-aeic.gc.ca/050/documents/p61898/100969E.pdf","author":[{"family":"Laurie McNeil &amp; Associates","given":""}],"issued":{"date-parts":[["2012",8]]}}},{"id":1741,"uris":["http://zotero.org/users/7094349/items/M3Y6CNJ9"],"itemData":{"id":1741,"type":"report","publisher":"National Centre for First Nations","title":"Consultation Fact Sheet","URL":"chrome-extension://efaidnbmnnnibpcajpcglclefindmkaj/https://fngovernance.org/wp-content/uploads/2020/06/Consultation_Steps_Factsheet.pdf","author":[{"family":"National Centre for First Nations","given":""}],"issued":{"date-parts":[["2020"]]}}}],"schema":"https://github.com/citation-style-language/schema/raw/master/csl-citation.json"} </w:instrText>
      </w:r>
      <w:r w:rsidR="006329B1">
        <w:rPr>
          <w:rFonts w:ascii="Times New Roman" w:hAnsi="Times New Roman" w:cs="Times New Roman"/>
        </w:rPr>
        <w:fldChar w:fldCharType="separate"/>
      </w:r>
      <w:r w:rsidR="00387404" w:rsidRPr="00387404">
        <w:rPr>
          <w:rFonts w:ascii="Times New Roman" w:hAnsi="Times New Roman" w:cs="Times New Roman"/>
          <w:kern w:val="0"/>
          <w:lang w:val="en-US"/>
        </w:rPr>
        <w:t>(Laurie McNeil &amp; Associates, 2012; National Centre for First Nations, 2020)</w:t>
      </w:r>
      <w:r w:rsidR="006329B1">
        <w:rPr>
          <w:rFonts w:ascii="Times New Roman" w:hAnsi="Times New Roman" w:cs="Times New Roman"/>
        </w:rPr>
        <w:fldChar w:fldCharType="end"/>
      </w:r>
      <w:r w:rsidR="0047577B" w:rsidRPr="005D4A4C">
        <w:rPr>
          <w:rFonts w:ascii="Times New Roman" w:hAnsi="Times New Roman" w:cs="Times New Roman"/>
        </w:rPr>
        <w:t xml:space="preserve">. </w:t>
      </w:r>
      <w:r w:rsidR="00B27DCC" w:rsidRPr="005D4A4C">
        <w:rPr>
          <w:rFonts w:ascii="Times New Roman" w:hAnsi="Times New Roman" w:cs="Times New Roman"/>
        </w:rPr>
        <w:t xml:space="preserve">The </w:t>
      </w:r>
      <w:r w:rsidR="005246CE" w:rsidRPr="005D4A4C">
        <w:rPr>
          <w:rFonts w:ascii="Times New Roman" w:hAnsi="Times New Roman" w:cs="Times New Roman"/>
          <w:lang w:val="en-US"/>
        </w:rPr>
        <w:t xml:space="preserve">Kúkwpi7 and Tk’wenem7i’ple7 </w:t>
      </w:r>
      <w:r w:rsidR="00B27DCC" w:rsidRPr="005D4A4C">
        <w:rPr>
          <w:rFonts w:ascii="Times New Roman" w:hAnsi="Times New Roman" w:cs="Times New Roman"/>
        </w:rPr>
        <w:t>oversee</w:t>
      </w:r>
      <w:r w:rsidR="006041C0" w:rsidRPr="005D4A4C">
        <w:rPr>
          <w:rFonts w:ascii="Times New Roman" w:hAnsi="Times New Roman" w:cs="Times New Roman"/>
        </w:rPr>
        <w:t xml:space="preserve"> social, educational, and economic development</w:t>
      </w:r>
      <w:r w:rsidR="00B27DCC" w:rsidRPr="005D4A4C">
        <w:rPr>
          <w:rFonts w:ascii="Times New Roman" w:hAnsi="Times New Roman" w:cs="Times New Roman"/>
        </w:rPr>
        <w:t>;</w:t>
      </w:r>
      <w:r w:rsidR="006041C0" w:rsidRPr="005D4A4C">
        <w:rPr>
          <w:rFonts w:ascii="Times New Roman" w:hAnsi="Times New Roman" w:cs="Times New Roman"/>
        </w:rPr>
        <w:t xml:space="preserve"> its members are</w:t>
      </w:r>
      <w:r w:rsidR="00A0167C" w:rsidRPr="005D4A4C">
        <w:rPr>
          <w:rFonts w:ascii="Times New Roman" w:hAnsi="Times New Roman" w:cs="Times New Roman"/>
        </w:rPr>
        <w:t xml:space="preserve"> elected</w:t>
      </w:r>
      <w:r w:rsidR="00DE59FB" w:rsidRPr="005D4A4C">
        <w:rPr>
          <w:rFonts w:ascii="Times New Roman" w:hAnsi="Times New Roman" w:cs="Times New Roman"/>
        </w:rPr>
        <w:t xml:space="preserve"> by </w:t>
      </w:r>
      <w:r w:rsidR="00D908F5" w:rsidRPr="005D4A4C">
        <w:rPr>
          <w:rFonts w:ascii="Times New Roman" w:hAnsi="Times New Roman" w:cs="Times New Roman"/>
        </w:rPr>
        <w:t>band members</w:t>
      </w:r>
      <w:r w:rsidR="00A0167C" w:rsidRPr="005D4A4C">
        <w:rPr>
          <w:rFonts w:ascii="Times New Roman" w:hAnsi="Times New Roman" w:cs="Times New Roman"/>
        </w:rPr>
        <w:t xml:space="preserve"> </w:t>
      </w:r>
      <w:r w:rsidR="006041C0" w:rsidRPr="005D4A4C">
        <w:rPr>
          <w:rFonts w:ascii="Times New Roman" w:hAnsi="Times New Roman" w:cs="Times New Roman"/>
        </w:rPr>
        <w:t>every three years</w:t>
      </w:r>
      <w:r w:rsidR="00D15334" w:rsidRPr="005D4A4C">
        <w:rPr>
          <w:rFonts w:ascii="Times New Roman" w:hAnsi="Times New Roman" w:cs="Times New Roman"/>
        </w:rPr>
        <w:t>,</w:t>
      </w:r>
      <w:r w:rsidR="00B27DCC" w:rsidRPr="005D4A4C">
        <w:rPr>
          <w:rFonts w:ascii="Times New Roman" w:hAnsi="Times New Roman" w:cs="Times New Roman"/>
        </w:rPr>
        <w:t xml:space="preserve"> but some members have served for</w:t>
      </w:r>
      <w:r w:rsidR="00D15334" w:rsidRPr="005D4A4C">
        <w:rPr>
          <w:rFonts w:ascii="Times New Roman" w:hAnsi="Times New Roman" w:cs="Times New Roman"/>
        </w:rPr>
        <w:t xml:space="preserve"> a </w:t>
      </w:r>
      <w:r w:rsidR="00B27DCC" w:rsidRPr="005D4A4C">
        <w:rPr>
          <w:rFonts w:ascii="Times New Roman" w:hAnsi="Times New Roman" w:cs="Times New Roman"/>
        </w:rPr>
        <w:t>decade</w:t>
      </w:r>
      <w:r w:rsidR="00D908F5" w:rsidRPr="005D4A4C">
        <w:rPr>
          <w:rFonts w:ascii="Times New Roman" w:hAnsi="Times New Roman" w:cs="Times New Roman"/>
        </w:rPr>
        <w:t xml:space="preserve"> or longer</w:t>
      </w:r>
      <w:r w:rsidR="00387404">
        <w:rPr>
          <w:rFonts w:ascii="Times New Roman" w:hAnsi="Times New Roman" w:cs="Times New Roman"/>
        </w:rPr>
        <w:t xml:space="preserve">. </w:t>
      </w:r>
      <w:r w:rsidR="00D15334" w:rsidRPr="005D4A4C">
        <w:rPr>
          <w:rFonts w:ascii="Times New Roman" w:hAnsi="Times New Roman" w:cs="Times New Roman"/>
        </w:rPr>
        <w:t>The Lands Department</w:t>
      </w:r>
      <w:r w:rsidR="00D908F5" w:rsidRPr="005D4A4C">
        <w:rPr>
          <w:rFonts w:ascii="Times New Roman" w:hAnsi="Times New Roman" w:cs="Times New Roman"/>
        </w:rPr>
        <w:t xml:space="preserve"> </w:t>
      </w:r>
      <w:r w:rsidR="00D146A2" w:rsidRPr="005D4A4C">
        <w:rPr>
          <w:rFonts w:ascii="Times New Roman" w:hAnsi="Times New Roman" w:cs="Times New Roman"/>
        </w:rPr>
        <w:t>handles</w:t>
      </w:r>
      <w:r w:rsidR="00D908F5" w:rsidRPr="005D4A4C">
        <w:rPr>
          <w:rFonts w:ascii="Times New Roman" w:hAnsi="Times New Roman" w:cs="Times New Roman"/>
        </w:rPr>
        <w:t xml:space="preserve"> transactions </w:t>
      </w:r>
      <w:r w:rsidR="00242F98" w:rsidRPr="005D4A4C">
        <w:rPr>
          <w:rFonts w:ascii="Times New Roman" w:hAnsi="Times New Roman" w:cs="Times New Roman"/>
        </w:rPr>
        <w:t>specifically on reserve, such as</w:t>
      </w:r>
      <w:r w:rsidR="00D908F5" w:rsidRPr="005D4A4C">
        <w:rPr>
          <w:rFonts w:ascii="Times New Roman" w:hAnsi="Times New Roman" w:cs="Times New Roman"/>
        </w:rPr>
        <w:t xml:space="preserve"> leases, permits, and registration of land transfers</w:t>
      </w:r>
      <w:r w:rsidR="00242F98" w:rsidRPr="005D4A4C">
        <w:rPr>
          <w:rFonts w:ascii="Times New Roman" w:hAnsi="Times New Roman" w:cs="Times New Roman"/>
        </w:rPr>
        <w:t>. They also support</w:t>
      </w:r>
      <w:r w:rsidR="00D908F5" w:rsidRPr="005D4A4C">
        <w:rPr>
          <w:rFonts w:ascii="Times New Roman" w:hAnsi="Times New Roman" w:cs="Times New Roman"/>
        </w:rPr>
        <w:t xml:space="preserve"> crown land referrals, archaeology, community planning, and </w:t>
      </w:r>
      <w:r w:rsidR="00E23D41" w:rsidRPr="005D4A4C">
        <w:rPr>
          <w:rFonts w:ascii="Times New Roman" w:hAnsi="Times New Roman" w:cs="Times New Roman"/>
        </w:rPr>
        <w:t>general</w:t>
      </w:r>
      <w:r w:rsidR="00D908F5" w:rsidRPr="005D4A4C">
        <w:rPr>
          <w:rFonts w:ascii="Times New Roman" w:hAnsi="Times New Roman" w:cs="Times New Roman"/>
        </w:rPr>
        <w:t xml:space="preserve"> administration. </w:t>
      </w:r>
      <w:r w:rsidR="00FC34B3" w:rsidRPr="005D4A4C">
        <w:rPr>
          <w:rFonts w:ascii="Times New Roman" w:hAnsi="Times New Roman" w:cs="Times New Roman"/>
        </w:rPr>
        <w:t xml:space="preserve">The Sustainable Resource Department oversees </w:t>
      </w:r>
      <w:r w:rsidR="00196CD1" w:rsidRPr="005D4A4C">
        <w:rPr>
          <w:rFonts w:ascii="Times New Roman" w:hAnsi="Times New Roman" w:cs="Times New Roman"/>
        </w:rPr>
        <w:t xml:space="preserve">the </w:t>
      </w:r>
      <w:r w:rsidR="00FC34B3" w:rsidRPr="005D4A4C">
        <w:rPr>
          <w:rFonts w:ascii="Times New Roman" w:hAnsi="Times New Roman" w:cs="Times New Roman"/>
        </w:rPr>
        <w:t>management</w:t>
      </w:r>
      <w:r w:rsidR="00196CD1" w:rsidRPr="005D4A4C">
        <w:rPr>
          <w:rFonts w:ascii="Times New Roman" w:hAnsi="Times New Roman" w:cs="Times New Roman"/>
        </w:rPr>
        <w:t xml:space="preserve">, conservation, and protection </w:t>
      </w:r>
      <w:r w:rsidR="00FC34B3" w:rsidRPr="005D4A4C">
        <w:rPr>
          <w:rFonts w:ascii="Times New Roman" w:hAnsi="Times New Roman" w:cs="Times New Roman"/>
        </w:rPr>
        <w:t>of the Simpcwúlecw</w:t>
      </w:r>
      <w:r w:rsidR="00431B56" w:rsidRPr="005D4A4C">
        <w:rPr>
          <w:rFonts w:ascii="Times New Roman" w:hAnsi="Times New Roman" w:cs="Times New Roman"/>
        </w:rPr>
        <w:t xml:space="preserve"> lands and resources</w:t>
      </w:r>
      <w:r w:rsidR="00FC34B3" w:rsidRPr="005D4A4C">
        <w:rPr>
          <w:rFonts w:ascii="Times New Roman" w:hAnsi="Times New Roman" w:cs="Times New Roman"/>
        </w:rPr>
        <w:t xml:space="preserve">. </w:t>
      </w:r>
      <w:r w:rsidR="00023C21" w:rsidRPr="005D4A4C">
        <w:rPr>
          <w:rFonts w:ascii="Times New Roman" w:hAnsi="Times New Roman" w:cs="Times New Roman"/>
        </w:rPr>
        <w:t>The Sustainable Resource Department</w:t>
      </w:r>
      <w:r w:rsidR="00023C21">
        <w:rPr>
          <w:rFonts w:ascii="Times New Roman" w:hAnsi="Times New Roman" w:cs="Times New Roman"/>
        </w:rPr>
        <w:t>’s</w:t>
      </w:r>
      <w:r w:rsidR="00023C21" w:rsidRPr="005D4A4C">
        <w:rPr>
          <w:rFonts w:ascii="Times New Roman" w:hAnsi="Times New Roman" w:cs="Times New Roman"/>
        </w:rPr>
        <w:t xml:space="preserve"> </w:t>
      </w:r>
      <w:r w:rsidR="00FC34B3" w:rsidRPr="005D4A4C">
        <w:rPr>
          <w:rFonts w:ascii="Times New Roman" w:hAnsi="Times New Roman" w:cs="Times New Roman"/>
        </w:rPr>
        <w:t xml:space="preserve">responsibilities </w:t>
      </w:r>
      <w:r w:rsidR="00196CD1" w:rsidRPr="005D4A4C">
        <w:rPr>
          <w:rFonts w:ascii="Times New Roman" w:hAnsi="Times New Roman" w:cs="Times New Roman"/>
        </w:rPr>
        <w:t>include</w:t>
      </w:r>
      <w:r w:rsidR="00FC34B3" w:rsidRPr="005D4A4C">
        <w:rPr>
          <w:rFonts w:ascii="Times New Roman" w:hAnsi="Times New Roman" w:cs="Times New Roman"/>
        </w:rPr>
        <w:t xml:space="preserve"> </w:t>
      </w:r>
      <w:r w:rsidR="0061401D" w:rsidRPr="005D4A4C">
        <w:rPr>
          <w:rFonts w:ascii="Times New Roman" w:hAnsi="Times New Roman" w:cs="Times New Roman"/>
        </w:rPr>
        <w:t xml:space="preserve">management </w:t>
      </w:r>
      <w:r w:rsidR="002A2803" w:rsidRPr="005D4A4C">
        <w:rPr>
          <w:rFonts w:ascii="Times New Roman" w:hAnsi="Times New Roman" w:cs="Times New Roman"/>
        </w:rPr>
        <w:t>activities</w:t>
      </w:r>
      <w:r w:rsidR="0061401D" w:rsidRPr="005D4A4C">
        <w:rPr>
          <w:rFonts w:ascii="Times New Roman" w:hAnsi="Times New Roman" w:cs="Times New Roman"/>
        </w:rPr>
        <w:t xml:space="preserve"> such</w:t>
      </w:r>
      <w:r w:rsidR="002A2803" w:rsidRPr="005D4A4C">
        <w:rPr>
          <w:rFonts w:ascii="Times New Roman" w:hAnsi="Times New Roman" w:cs="Times New Roman"/>
        </w:rPr>
        <w:t xml:space="preserve"> as </w:t>
      </w:r>
      <w:r w:rsidR="00FC34B3" w:rsidRPr="005D4A4C">
        <w:rPr>
          <w:rFonts w:ascii="Times New Roman" w:hAnsi="Times New Roman" w:cs="Times New Roman"/>
        </w:rPr>
        <w:t>permitting</w:t>
      </w:r>
      <w:r w:rsidR="002A2803" w:rsidRPr="005D4A4C">
        <w:rPr>
          <w:rFonts w:ascii="Times New Roman" w:hAnsi="Times New Roman" w:cs="Times New Roman"/>
        </w:rPr>
        <w:t xml:space="preserve"> and </w:t>
      </w:r>
      <w:r w:rsidR="00FC34B3" w:rsidRPr="005D4A4C">
        <w:rPr>
          <w:rFonts w:ascii="Times New Roman" w:hAnsi="Times New Roman" w:cs="Times New Roman"/>
        </w:rPr>
        <w:t>contract negotiation</w:t>
      </w:r>
      <w:r w:rsidR="006B548F">
        <w:rPr>
          <w:rFonts w:ascii="Times New Roman" w:hAnsi="Times New Roman" w:cs="Times New Roman"/>
        </w:rPr>
        <w:t xml:space="preserve"> and</w:t>
      </w:r>
      <w:r w:rsidR="002A2803" w:rsidRPr="005D4A4C">
        <w:rPr>
          <w:rFonts w:ascii="Times New Roman" w:hAnsi="Times New Roman" w:cs="Times New Roman"/>
        </w:rPr>
        <w:t xml:space="preserve"> research activities such as environmental monitoring and wildlife surveys.</w:t>
      </w:r>
      <w:r w:rsidR="00E22E07" w:rsidRPr="005D4A4C">
        <w:rPr>
          <w:rFonts w:ascii="Times New Roman" w:hAnsi="Times New Roman" w:cs="Times New Roman"/>
        </w:rPr>
        <w:t xml:space="preserve"> </w:t>
      </w:r>
      <w:r w:rsidR="00021907" w:rsidRPr="005D4A4C">
        <w:rPr>
          <w:rFonts w:ascii="Times New Roman" w:hAnsi="Times New Roman" w:cs="Times New Roman"/>
        </w:rPr>
        <w:t xml:space="preserve">The </w:t>
      </w:r>
      <w:r w:rsidR="00CA67FE" w:rsidRPr="005D4A4C">
        <w:rPr>
          <w:rFonts w:ascii="Times New Roman" w:hAnsi="Times New Roman" w:cs="Times New Roman"/>
          <w:lang w:val="en-US"/>
        </w:rPr>
        <w:t xml:space="preserve">Kúkwpi7 and Tk’wenem7i’ple7, Lands Department, </w:t>
      </w:r>
      <w:r w:rsidR="00CA67FE" w:rsidRPr="005D4A4C">
        <w:rPr>
          <w:rFonts w:ascii="Times New Roman" w:hAnsi="Times New Roman" w:cs="Times New Roman"/>
          <w:lang w:val="en-US"/>
        </w:rPr>
        <w:t xml:space="preserve">and </w:t>
      </w:r>
      <w:r w:rsidR="00CA67FE" w:rsidRPr="005D4A4C">
        <w:rPr>
          <w:rFonts w:ascii="Times New Roman" w:hAnsi="Times New Roman" w:cs="Times New Roman"/>
          <w:lang w:val="en-US"/>
        </w:rPr>
        <w:t>Sustainable Resource Department</w:t>
      </w:r>
      <w:r w:rsidR="00CA67FE" w:rsidRPr="005D4A4C">
        <w:rPr>
          <w:rFonts w:ascii="Times New Roman" w:hAnsi="Times New Roman" w:cs="Times New Roman"/>
        </w:rPr>
        <w:t xml:space="preserve"> all </w:t>
      </w:r>
      <w:r w:rsidR="00172325" w:rsidRPr="005D4A4C">
        <w:rPr>
          <w:rFonts w:ascii="Times New Roman" w:hAnsi="Times New Roman" w:cs="Times New Roman"/>
        </w:rPr>
        <w:t>collaborate</w:t>
      </w:r>
      <w:r w:rsidR="00CA67FE" w:rsidRPr="005D4A4C">
        <w:rPr>
          <w:rFonts w:ascii="Times New Roman" w:hAnsi="Times New Roman" w:cs="Times New Roman"/>
        </w:rPr>
        <w:t xml:space="preserve"> with the </w:t>
      </w:r>
      <w:r w:rsidR="00CA67FE" w:rsidRPr="005D4A4C">
        <w:rPr>
          <w:rFonts w:ascii="Times New Roman" w:hAnsi="Times New Roman" w:cs="Times New Roman"/>
        </w:rPr>
        <w:t>Simpcwemc community</w:t>
      </w:r>
      <w:r w:rsidR="00CA67FE" w:rsidRPr="005D4A4C">
        <w:rPr>
          <w:rFonts w:ascii="Times New Roman" w:hAnsi="Times New Roman" w:cs="Times New Roman"/>
        </w:rPr>
        <w:t xml:space="preserve"> at various stages</w:t>
      </w:r>
      <w:r w:rsidR="00172325" w:rsidRPr="005D4A4C">
        <w:rPr>
          <w:rFonts w:ascii="Times New Roman" w:hAnsi="Times New Roman" w:cs="Times New Roman"/>
        </w:rPr>
        <w:t xml:space="preserve"> throughout their purs</w:t>
      </w:r>
      <w:r w:rsidR="008A7805" w:rsidRPr="005D4A4C">
        <w:rPr>
          <w:rFonts w:ascii="Times New Roman" w:hAnsi="Times New Roman" w:cs="Times New Roman"/>
        </w:rPr>
        <w:t>u</w:t>
      </w:r>
      <w:r w:rsidR="00172325" w:rsidRPr="005D4A4C">
        <w:rPr>
          <w:rFonts w:ascii="Times New Roman" w:hAnsi="Times New Roman" w:cs="Times New Roman"/>
        </w:rPr>
        <w:t>its</w:t>
      </w:r>
      <w:r w:rsidR="008A7805" w:rsidRPr="005D4A4C">
        <w:rPr>
          <w:rFonts w:ascii="Times New Roman" w:hAnsi="Times New Roman" w:cs="Times New Roman"/>
        </w:rPr>
        <w:t xml:space="preserve"> to </w:t>
      </w:r>
      <w:r w:rsidR="008A7805" w:rsidRPr="005D4A4C">
        <w:rPr>
          <w:rFonts w:ascii="Times New Roman" w:hAnsi="Times New Roman" w:cs="Times New Roman"/>
        </w:rPr>
        <w:t>forth the priorities for the development within Simpcwúlecw</w:t>
      </w:r>
      <w:r w:rsidR="00CA67FE" w:rsidRPr="005D4A4C">
        <w:rPr>
          <w:rFonts w:ascii="Times New Roman" w:hAnsi="Times New Roman" w:cs="Times New Roman"/>
        </w:rPr>
        <w:t xml:space="preserve">. </w:t>
      </w:r>
      <w:r w:rsidR="00172325" w:rsidRPr="005D4A4C">
        <w:rPr>
          <w:rFonts w:ascii="Times New Roman" w:hAnsi="Times New Roman" w:cs="Times New Roman"/>
        </w:rPr>
        <w:t>All these</w:t>
      </w:r>
      <w:r w:rsidR="00E22E07" w:rsidRPr="005D4A4C">
        <w:rPr>
          <w:rFonts w:ascii="Times New Roman" w:hAnsi="Times New Roman" w:cs="Times New Roman"/>
        </w:rPr>
        <w:t xml:space="preserve"> actors within the Simpcwc nation engage in the joint venture of </w:t>
      </w:r>
      <w:r w:rsidR="00C735E4" w:rsidRPr="005D4A4C">
        <w:rPr>
          <w:rFonts w:ascii="Times New Roman" w:hAnsi="Times New Roman" w:cs="Times New Roman"/>
        </w:rPr>
        <w:t>managing Simpcwúlecw lands and resources across various sectors, such as forestry, mining,</w:t>
      </w:r>
      <w:r w:rsidR="00250EBF" w:rsidRPr="005D4A4C">
        <w:rPr>
          <w:rFonts w:ascii="Times New Roman" w:hAnsi="Times New Roman" w:cs="Times New Roman"/>
        </w:rPr>
        <w:t xml:space="preserve"> and</w:t>
      </w:r>
      <w:r w:rsidR="008A7805" w:rsidRPr="005D4A4C">
        <w:rPr>
          <w:rFonts w:ascii="Times New Roman" w:hAnsi="Times New Roman" w:cs="Times New Roman"/>
        </w:rPr>
        <w:t xml:space="preserve"> tourism. </w:t>
      </w:r>
      <w:r w:rsidR="004852FC" w:rsidRPr="005D4A4C">
        <w:rPr>
          <w:rFonts w:ascii="Times New Roman" w:hAnsi="Times New Roman" w:cs="Times New Roman"/>
        </w:rPr>
        <w:t xml:space="preserve">Importantly, </w:t>
      </w:r>
      <w:r w:rsidR="009609B6" w:rsidRPr="005D4A4C">
        <w:rPr>
          <w:rFonts w:ascii="Times New Roman" w:hAnsi="Times New Roman" w:cs="Times New Roman"/>
        </w:rPr>
        <w:t xml:space="preserve">all the actors and processes involved in </w:t>
      </w:r>
      <w:r w:rsidR="009609B6" w:rsidRPr="005D4A4C">
        <w:rPr>
          <w:rFonts w:ascii="Times New Roman" w:hAnsi="Times New Roman" w:cs="Times New Roman"/>
        </w:rPr>
        <w:t>Simpcwúlecw</w:t>
      </w:r>
      <w:r w:rsidR="009609B6" w:rsidRPr="005D4A4C">
        <w:rPr>
          <w:rFonts w:ascii="Times New Roman" w:hAnsi="Times New Roman" w:cs="Times New Roman"/>
        </w:rPr>
        <w:t xml:space="preserve"> manag</w:t>
      </w:r>
      <w:r w:rsidR="00203536" w:rsidRPr="005D4A4C">
        <w:rPr>
          <w:rFonts w:ascii="Times New Roman" w:hAnsi="Times New Roman" w:cs="Times New Roman"/>
        </w:rPr>
        <w:t>e</w:t>
      </w:r>
      <w:r w:rsidR="009609B6" w:rsidRPr="005D4A4C">
        <w:rPr>
          <w:rFonts w:ascii="Times New Roman" w:hAnsi="Times New Roman" w:cs="Times New Roman"/>
        </w:rPr>
        <w:t xml:space="preserve">ment </w:t>
      </w:r>
      <w:r w:rsidR="00B7373D">
        <w:rPr>
          <w:rFonts w:ascii="Times New Roman" w:hAnsi="Times New Roman" w:cs="Times New Roman"/>
        </w:rPr>
        <w:t xml:space="preserve">uphold </w:t>
      </w:r>
      <w:r w:rsidR="00442351" w:rsidRPr="005D4A4C">
        <w:rPr>
          <w:rFonts w:ascii="Times New Roman" w:hAnsi="Times New Roman" w:cs="Times New Roman"/>
        </w:rPr>
        <w:t xml:space="preserve">the </w:t>
      </w:r>
      <w:r w:rsidR="00CC52A6" w:rsidRPr="005D4A4C">
        <w:rPr>
          <w:rFonts w:ascii="Times New Roman" w:hAnsi="Times New Roman" w:cs="Times New Roman"/>
        </w:rPr>
        <w:t>Simpcwemc principles of Yecwmenúlecw, Tknémentem, and Xyemstém</w:t>
      </w:r>
      <w:r w:rsidR="00442351" w:rsidRPr="005D4A4C">
        <w:rPr>
          <w:rFonts w:ascii="Times New Roman" w:hAnsi="Times New Roman" w:cs="Times New Roman"/>
        </w:rPr>
        <w:t xml:space="preserve">. </w:t>
      </w:r>
      <w:r w:rsidR="00365E5F" w:rsidRPr="005D4A4C">
        <w:rPr>
          <w:rFonts w:ascii="Times New Roman" w:hAnsi="Times New Roman" w:cs="Times New Roman"/>
        </w:rPr>
        <w:t>Below,</w:t>
      </w:r>
      <w:r w:rsidR="00F36026" w:rsidRPr="005D4A4C">
        <w:rPr>
          <w:rFonts w:ascii="Times New Roman" w:hAnsi="Times New Roman" w:cs="Times New Roman"/>
        </w:rPr>
        <w:t xml:space="preserve"> I</w:t>
      </w:r>
      <w:r w:rsidR="00365E5F" w:rsidRPr="005D4A4C">
        <w:rPr>
          <w:rFonts w:ascii="Times New Roman" w:hAnsi="Times New Roman" w:cs="Times New Roman"/>
        </w:rPr>
        <w:t xml:space="preserve"> </w:t>
      </w:r>
      <w:r w:rsidR="000B2E6F" w:rsidRPr="005D4A4C">
        <w:rPr>
          <w:rFonts w:ascii="Times New Roman" w:hAnsi="Times New Roman" w:cs="Times New Roman"/>
        </w:rPr>
        <w:t>provide a conceptual model for how the a</w:t>
      </w:r>
      <w:r w:rsidR="00A85807">
        <w:rPr>
          <w:rFonts w:ascii="Times New Roman" w:hAnsi="Times New Roman" w:cs="Times New Roman"/>
        </w:rPr>
        <w:t>fore</w:t>
      </w:r>
      <w:r w:rsidR="000B2E6F" w:rsidRPr="005D4A4C">
        <w:rPr>
          <w:rFonts w:ascii="Times New Roman" w:hAnsi="Times New Roman" w:cs="Times New Roman"/>
        </w:rPr>
        <w:t>mentioned</w:t>
      </w:r>
      <w:r w:rsidR="00C77A8E" w:rsidRPr="005D4A4C">
        <w:rPr>
          <w:rFonts w:ascii="Times New Roman" w:hAnsi="Times New Roman" w:cs="Times New Roman"/>
        </w:rPr>
        <w:t xml:space="preserve"> </w:t>
      </w:r>
      <w:r w:rsidR="00BD0293" w:rsidRPr="005D4A4C">
        <w:rPr>
          <w:rFonts w:ascii="Times New Roman" w:hAnsi="Times New Roman" w:cs="Times New Roman"/>
        </w:rPr>
        <w:t xml:space="preserve">actors, </w:t>
      </w:r>
      <w:r w:rsidR="00C77A8E" w:rsidRPr="005D4A4C">
        <w:rPr>
          <w:rFonts w:ascii="Times New Roman" w:hAnsi="Times New Roman" w:cs="Times New Roman"/>
        </w:rPr>
        <w:t>process</w:t>
      </w:r>
      <w:r w:rsidR="00000271" w:rsidRPr="005D4A4C">
        <w:rPr>
          <w:rFonts w:ascii="Times New Roman" w:hAnsi="Times New Roman" w:cs="Times New Roman"/>
        </w:rPr>
        <w:t>es</w:t>
      </w:r>
      <w:r w:rsidR="00BD0293" w:rsidRPr="005D4A4C">
        <w:rPr>
          <w:rFonts w:ascii="Times New Roman" w:hAnsi="Times New Roman" w:cs="Times New Roman"/>
        </w:rPr>
        <w:t>, and</w:t>
      </w:r>
      <w:r w:rsidR="00365E5F" w:rsidRPr="005D4A4C">
        <w:rPr>
          <w:rFonts w:ascii="Times New Roman" w:hAnsi="Times New Roman" w:cs="Times New Roman"/>
        </w:rPr>
        <w:t xml:space="preserve"> princip</w:t>
      </w:r>
      <w:r w:rsidR="00F36026" w:rsidRPr="005D4A4C">
        <w:rPr>
          <w:rFonts w:ascii="Times New Roman" w:hAnsi="Times New Roman" w:cs="Times New Roman"/>
        </w:rPr>
        <w:t>le</w:t>
      </w:r>
      <w:r w:rsidR="00365E5F" w:rsidRPr="005D4A4C">
        <w:rPr>
          <w:rFonts w:ascii="Times New Roman" w:hAnsi="Times New Roman" w:cs="Times New Roman"/>
        </w:rPr>
        <w:t>s</w:t>
      </w:r>
      <w:r w:rsidR="00C77A8E" w:rsidRPr="005D4A4C">
        <w:rPr>
          <w:rFonts w:ascii="Times New Roman" w:hAnsi="Times New Roman" w:cs="Times New Roman"/>
        </w:rPr>
        <w:t xml:space="preserve"> </w:t>
      </w:r>
      <w:r w:rsidR="005A0103" w:rsidRPr="005D4A4C">
        <w:rPr>
          <w:rFonts w:ascii="Times New Roman" w:hAnsi="Times New Roman" w:cs="Times New Roman"/>
        </w:rPr>
        <w:t xml:space="preserve">shape </w:t>
      </w:r>
      <w:r w:rsidR="00E90E07" w:rsidRPr="005D4A4C">
        <w:rPr>
          <w:rFonts w:ascii="Times New Roman" w:hAnsi="Times New Roman" w:cs="Times New Roman"/>
        </w:rPr>
        <w:t>Simpcwc’s</w:t>
      </w:r>
      <w:r w:rsidR="005A0103" w:rsidRPr="005D4A4C">
        <w:rPr>
          <w:rFonts w:ascii="Times New Roman" w:hAnsi="Times New Roman" w:cs="Times New Roman"/>
        </w:rPr>
        <w:t xml:space="preserve"> decision-making process for natural resources</w:t>
      </w:r>
      <w:r w:rsidR="00E90E07" w:rsidRPr="005D4A4C">
        <w:rPr>
          <w:rFonts w:ascii="Times New Roman" w:hAnsi="Times New Roman" w:cs="Times New Roman"/>
        </w:rPr>
        <w:t xml:space="preserve"> using </w:t>
      </w:r>
      <w:r w:rsidR="00BE4513" w:rsidRPr="005D4A4C">
        <w:rPr>
          <w:rFonts w:ascii="Times New Roman" w:hAnsi="Times New Roman" w:cs="Times New Roman"/>
        </w:rPr>
        <w:t>an</w:t>
      </w:r>
      <w:r w:rsidR="00DD47C2" w:rsidRPr="005D4A4C">
        <w:rPr>
          <w:rFonts w:ascii="Times New Roman" w:hAnsi="Times New Roman" w:cs="Times New Roman"/>
        </w:rPr>
        <w:t xml:space="preserve"> example of a </w:t>
      </w:r>
      <w:r w:rsidR="00E90E07" w:rsidRPr="005D4A4C">
        <w:rPr>
          <w:rFonts w:ascii="Times New Roman" w:hAnsi="Times New Roman" w:cs="Times New Roman"/>
        </w:rPr>
        <w:t>forestry referral</w:t>
      </w:r>
      <w:r w:rsidR="00DD47C2" w:rsidRPr="005D4A4C">
        <w:rPr>
          <w:rFonts w:ascii="Times New Roman" w:hAnsi="Times New Roman" w:cs="Times New Roman"/>
        </w:rPr>
        <w:t xml:space="preserve"> process</w:t>
      </w:r>
      <w:r w:rsidR="00946BCD">
        <w:rPr>
          <w:rFonts w:ascii="Times New Roman" w:hAnsi="Times New Roman" w:cs="Times New Roman"/>
        </w:rPr>
        <w:t xml:space="preserve">. </w:t>
      </w:r>
    </w:p>
    <w:p w14:paraId="708BBC2C" w14:textId="77777777" w:rsidR="00A607AE" w:rsidRDefault="00A607AE" w:rsidP="00A607AE">
      <w:pPr>
        <w:ind w:firstLine="720"/>
        <w:rPr>
          <w:rFonts w:ascii="Times New Roman" w:hAnsi="Times New Roman" w:cs="Times New Roman"/>
        </w:rPr>
      </w:pPr>
    </w:p>
    <w:p w14:paraId="23C0C892" w14:textId="77777777" w:rsidR="00A607AE" w:rsidRDefault="00A607AE" w:rsidP="00A607AE">
      <w:pPr>
        <w:ind w:firstLine="720"/>
        <w:rPr>
          <w:rFonts w:ascii="Times New Roman" w:hAnsi="Times New Roman" w:cs="Times New Roman"/>
        </w:rPr>
      </w:pPr>
    </w:p>
    <w:p w14:paraId="397EE52A" w14:textId="77777777" w:rsidR="00A607AE" w:rsidRDefault="00A607AE" w:rsidP="00A607AE">
      <w:pPr>
        <w:ind w:firstLine="720"/>
        <w:rPr>
          <w:rFonts w:ascii="Times New Roman" w:hAnsi="Times New Roman" w:cs="Times New Roman"/>
        </w:rPr>
      </w:pPr>
    </w:p>
    <w:p w14:paraId="775B2D12" w14:textId="77777777" w:rsidR="00A607AE" w:rsidRDefault="00A607AE" w:rsidP="00A607AE">
      <w:pPr>
        <w:ind w:firstLine="720"/>
        <w:rPr>
          <w:rFonts w:ascii="Times New Roman" w:hAnsi="Times New Roman" w:cs="Times New Roman"/>
        </w:rPr>
      </w:pPr>
    </w:p>
    <w:p w14:paraId="5BBF84B9" w14:textId="77777777" w:rsidR="00A607AE" w:rsidRDefault="00A607AE" w:rsidP="00A607AE">
      <w:pPr>
        <w:ind w:firstLine="720"/>
        <w:rPr>
          <w:rFonts w:ascii="Times New Roman" w:hAnsi="Times New Roman" w:cs="Times New Roman"/>
        </w:rPr>
      </w:pPr>
    </w:p>
    <w:p w14:paraId="6AFA4BCD" w14:textId="77777777" w:rsidR="00A607AE" w:rsidRDefault="00A607AE" w:rsidP="00A607AE">
      <w:pPr>
        <w:ind w:firstLine="720"/>
        <w:rPr>
          <w:rFonts w:ascii="Times New Roman" w:hAnsi="Times New Roman" w:cs="Times New Roman"/>
        </w:rPr>
      </w:pPr>
    </w:p>
    <w:p w14:paraId="32930CBC" w14:textId="77777777" w:rsidR="00A607AE" w:rsidRDefault="00A607AE" w:rsidP="00A607AE">
      <w:pPr>
        <w:ind w:firstLine="720"/>
        <w:rPr>
          <w:rFonts w:ascii="Times New Roman" w:hAnsi="Times New Roman" w:cs="Times New Roman"/>
        </w:rPr>
      </w:pPr>
    </w:p>
    <w:p w14:paraId="499245DC" w14:textId="77777777" w:rsidR="00A607AE" w:rsidRDefault="00A607AE" w:rsidP="00A607AE">
      <w:pPr>
        <w:ind w:firstLine="720"/>
        <w:rPr>
          <w:rFonts w:ascii="Times New Roman" w:hAnsi="Times New Roman" w:cs="Times New Roman"/>
        </w:rPr>
      </w:pPr>
    </w:p>
    <w:p w14:paraId="04EE7562" w14:textId="77777777" w:rsidR="00A607AE" w:rsidRDefault="00A607AE" w:rsidP="00A607AE">
      <w:pPr>
        <w:ind w:firstLine="720"/>
        <w:rPr>
          <w:rFonts w:ascii="Times New Roman" w:hAnsi="Times New Roman" w:cs="Times New Roman"/>
        </w:rPr>
      </w:pPr>
    </w:p>
    <w:p w14:paraId="3DB9A922" w14:textId="77777777" w:rsidR="00A607AE" w:rsidRDefault="00A607AE" w:rsidP="00A607AE">
      <w:pPr>
        <w:ind w:firstLine="720"/>
        <w:rPr>
          <w:rFonts w:ascii="Times New Roman" w:hAnsi="Times New Roman" w:cs="Times New Roman"/>
        </w:rPr>
      </w:pPr>
    </w:p>
    <w:p w14:paraId="3971AB96" w14:textId="77777777" w:rsidR="00A607AE" w:rsidRDefault="00A607AE" w:rsidP="00A607AE">
      <w:pPr>
        <w:ind w:firstLine="720"/>
        <w:rPr>
          <w:rFonts w:ascii="Times New Roman" w:hAnsi="Times New Roman" w:cs="Times New Roman"/>
        </w:rPr>
      </w:pPr>
    </w:p>
    <w:p w14:paraId="4F4CFC68" w14:textId="77777777" w:rsidR="00A607AE" w:rsidRDefault="00A607AE" w:rsidP="00A607AE">
      <w:pPr>
        <w:ind w:firstLine="720"/>
        <w:rPr>
          <w:rFonts w:ascii="Times New Roman" w:hAnsi="Times New Roman" w:cs="Times New Roman"/>
        </w:rPr>
      </w:pPr>
    </w:p>
    <w:p w14:paraId="489C4983" w14:textId="77777777" w:rsidR="00A607AE" w:rsidRDefault="00A607AE" w:rsidP="00A607AE">
      <w:pPr>
        <w:ind w:firstLine="720"/>
        <w:rPr>
          <w:rFonts w:ascii="Times New Roman" w:hAnsi="Times New Roman" w:cs="Times New Roman"/>
        </w:rPr>
      </w:pPr>
    </w:p>
    <w:p w14:paraId="26A34CA8" w14:textId="77777777" w:rsidR="00A607AE" w:rsidRDefault="00A607AE" w:rsidP="00A607AE">
      <w:pPr>
        <w:ind w:firstLine="720"/>
        <w:rPr>
          <w:rFonts w:ascii="Times New Roman" w:hAnsi="Times New Roman" w:cs="Times New Roman"/>
        </w:rPr>
      </w:pPr>
    </w:p>
    <w:p w14:paraId="33E21174" w14:textId="77777777" w:rsidR="00A607AE" w:rsidRDefault="00A607AE" w:rsidP="00A607AE">
      <w:pPr>
        <w:ind w:firstLine="720"/>
        <w:rPr>
          <w:rFonts w:ascii="Times New Roman" w:hAnsi="Times New Roman" w:cs="Times New Roman"/>
        </w:rPr>
      </w:pPr>
    </w:p>
    <w:p w14:paraId="4546C7FC" w14:textId="77777777" w:rsidR="00A607AE" w:rsidRDefault="00A607AE" w:rsidP="00A607AE">
      <w:pPr>
        <w:ind w:firstLine="720"/>
        <w:rPr>
          <w:rFonts w:ascii="Times New Roman" w:hAnsi="Times New Roman" w:cs="Times New Roman"/>
        </w:rPr>
      </w:pPr>
    </w:p>
    <w:p w14:paraId="1C307ED3" w14:textId="77777777" w:rsidR="00A607AE" w:rsidRPr="005D4A4C" w:rsidRDefault="00A607AE" w:rsidP="00A607AE">
      <w:pPr>
        <w:ind w:firstLine="720"/>
        <w:rPr>
          <w:rFonts w:ascii="Times New Roman" w:hAnsi="Times New Roman" w:cs="Times New Roman"/>
        </w:rPr>
      </w:pPr>
    </w:p>
    <w:p w14:paraId="28B9131D" w14:textId="2B1EC67D" w:rsidR="00A607AE" w:rsidRDefault="00A607AE" w:rsidP="00A607AE">
      <w:pPr>
        <w:keepNext/>
        <w:rPr>
          <w:rFonts w:ascii="Times New Roman" w:hAnsi="Times New Roman" w:cs="Times New Roman"/>
          <w:b/>
          <w:bCs/>
          <w:sz w:val="22"/>
          <w:szCs w:val="22"/>
        </w:rPr>
      </w:pPr>
      <w:r w:rsidRPr="00A607AE">
        <w:rPr>
          <w:rFonts w:ascii="Times New Roman" w:hAnsi="Times New Roman" w:cs="Times New Roman"/>
          <w:b/>
          <w:bCs/>
          <w:sz w:val="22"/>
          <w:szCs w:val="22"/>
        </w:rPr>
        <w:lastRenderedPageBreak/>
        <w:t xml:space="preserve">Figure </w:t>
      </w:r>
      <w:r w:rsidRPr="00A607AE">
        <w:rPr>
          <w:rFonts w:ascii="Times New Roman" w:hAnsi="Times New Roman" w:cs="Times New Roman"/>
          <w:b/>
          <w:bCs/>
          <w:sz w:val="22"/>
          <w:szCs w:val="22"/>
        </w:rPr>
        <w:fldChar w:fldCharType="begin"/>
      </w:r>
      <w:r w:rsidRPr="00A607AE">
        <w:rPr>
          <w:rFonts w:ascii="Times New Roman" w:hAnsi="Times New Roman" w:cs="Times New Roman"/>
          <w:b/>
          <w:bCs/>
          <w:sz w:val="22"/>
          <w:szCs w:val="22"/>
        </w:rPr>
        <w:instrText xml:space="preserve"> SEQ Figure \* ARABIC </w:instrText>
      </w:r>
      <w:r w:rsidRPr="00A607AE">
        <w:rPr>
          <w:rFonts w:ascii="Times New Roman" w:hAnsi="Times New Roman" w:cs="Times New Roman"/>
          <w:b/>
          <w:bCs/>
          <w:sz w:val="22"/>
          <w:szCs w:val="22"/>
        </w:rPr>
        <w:fldChar w:fldCharType="separate"/>
      </w:r>
      <w:r w:rsidR="00946BCD">
        <w:rPr>
          <w:rFonts w:ascii="Times New Roman" w:hAnsi="Times New Roman" w:cs="Times New Roman"/>
          <w:b/>
          <w:bCs/>
          <w:noProof/>
          <w:sz w:val="22"/>
          <w:szCs w:val="22"/>
        </w:rPr>
        <w:t>1</w:t>
      </w:r>
      <w:r w:rsidRPr="00A607AE">
        <w:rPr>
          <w:rFonts w:ascii="Times New Roman" w:hAnsi="Times New Roman" w:cs="Times New Roman"/>
          <w:b/>
          <w:bCs/>
          <w:sz w:val="22"/>
          <w:szCs w:val="22"/>
        </w:rPr>
        <w:fldChar w:fldCharType="end"/>
      </w:r>
    </w:p>
    <w:p w14:paraId="3B7787D9" w14:textId="0812AEF9" w:rsidR="00A607AE" w:rsidRDefault="00A607AE" w:rsidP="00A607AE">
      <w:pPr>
        <w:keepNext/>
        <w:rPr>
          <w:rFonts w:ascii="Times New Roman" w:hAnsi="Times New Roman" w:cs="Times New Roman"/>
          <w:i/>
          <w:iCs/>
        </w:rPr>
      </w:pPr>
      <w:r w:rsidRPr="00A607AE">
        <w:rPr>
          <w:rFonts w:ascii="Times New Roman" w:hAnsi="Times New Roman" w:cs="Times New Roman"/>
          <w:i/>
          <w:iCs/>
        </w:rPr>
        <w:t xml:space="preserve">Simpcw First Nation's </w:t>
      </w:r>
      <w:r>
        <w:rPr>
          <w:rFonts w:ascii="Times New Roman" w:hAnsi="Times New Roman" w:cs="Times New Roman"/>
          <w:i/>
          <w:iCs/>
        </w:rPr>
        <w:t>P</w:t>
      </w:r>
      <w:r w:rsidRPr="00A607AE">
        <w:rPr>
          <w:rFonts w:ascii="Times New Roman" w:hAnsi="Times New Roman" w:cs="Times New Roman"/>
          <w:i/>
          <w:iCs/>
        </w:rPr>
        <w:t xml:space="preserve">rocess for </w:t>
      </w:r>
      <w:r>
        <w:rPr>
          <w:rFonts w:ascii="Times New Roman" w:hAnsi="Times New Roman" w:cs="Times New Roman"/>
          <w:i/>
          <w:iCs/>
        </w:rPr>
        <w:t>M</w:t>
      </w:r>
      <w:r w:rsidRPr="00A607AE">
        <w:rPr>
          <w:rFonts w:ascii="Times New Roman" w:hAnsi="Times New Roman" w:cs="Times New Roman"/>
          <w:i/>
          <w:iCs/>
        </w:rPr>
        <w:t xml:space="preserve">anaging </w:t>
      </w:r>
      <w:r>
        <w:rPr>
          <w:rFonts w:ascii="Times New Roman" w:hAnsi="Times New Roman" w:cs="Times New Roman"/>
          <w:i/>
          <w:iCs/>
        </w:rPr>
        <w:t>F</w:t>
      </w:r>
      <w:r w:rsidRPr="00A607AE">
        <w:rPr>
          <w:rFonts w:ascii="Times New Roman" w:hAnsi="Times New Roman" w:cs="Times New Roman"/>
          <w:i/>
          <w:iCs/>
        </w:rPr>
        <w:t xml:space="preserve">orestry </w:t>
      </w:r>
      <w:r>
        <w:rPr>
          <w:rFonts w:ascii="Times New Roman" w:hAnsi="Times New Roman" w:cs="Times New Roman"/>
          <w:i/>
          <w:iCs/>
        </w:rPr>
        <w:t>R</w:t>
      </w:r>
      <w:r w:rsidRPr="00A607AE">
        <w:rPr>
          <w:rFonts w:ascii="Times New Roman" w:hAnsi="Times New Roman" w:cs="Times New Roman"/>
          <w:i/>
          <w:iCs/>
        </w:rPr>
        <w:t>eferrals</w:t>
      </w:r>
    </w:p>
    <w:p w14:paraId="62D2FAB4" w14:textId="6DED1625" w:rsidR="000B2E6F" w:rsidRDefault="00A607AE" w:rsidP="00A607AE">
      <w:pPr>
        <w:keepNext/>
      </w:pPr>
      <w:r w:rsidRPr="00A607AE">
        <w:rPr>
          <w:rFonts w:ascii="Times New Roman" w:hAnsi="Times New Roman" w:cs="Times New Roman"/>
          <w:noProof/>
        </w:rPr>
        <w:t xml:space="preserve"> </w:t>
      </w:r>
      <w:r>
        <w:rPr>
          <w:rFonts w:ascii="Times New Roman" w:hAnsi="Times New Roman" w:cs="Times New Roman"/>
          <w:noProof/>
        </w:rPr>
        <w:drawing>
          <wp:inline distT="0" distB="0" distL="0" distR="0" wp14:anchorId="1F939CD6" wp14:editId="1BF81855">
            <wp:extent cx="1561028" cy="7529885"/>
            <wp:effectExtent l="0" t="0" r="1270" b="0"/>
            <wp:docPr id="365974621" name="Picture 1"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4621" name="Picture 1" descr="A diagram of a busin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4032" cy="8798531"/>
                    </a:xfrm>
                    <a:prstGeom prst="rect">
                      <a:avLst/>
                    </a:prstGeom>
                  </pic:spPr>
                </pic:pic>
              </a:graphicData>
            </a:graphic>
          </wp:inline>
        </w:drawing>
      </w:r>
    </w:p>
    <w:p w14:paraId="16FA07E4" w14:textId="50DFBF17" w:rsidR="00107F1F" w:rsidRDefault="00A607AE" w:rsidP="00786862">
      <w:pPr>
        <w:pStyle w:val="Caption"/>
        <w:rPr>
          <w:rFonts w:ascii="Times New Roman" w:hAnsi="Times New Roman" w:cs="Times New Roman"/>
          <w:i w:val="0"/>
          <w:iCs w:val="0"/>
          <w:color w:val="auto"/>
          <w:sz w:val="24"/>
          <w:szCs w:val="24"/>
        </w:rPr>
      </w:pPr>
      <w:r w:rsidRPr="00A607AE">
        <w:rPr>
          <w:rFonts w:ascii="Times New Roman" w:hAnsi="Times New Roman" w:cs="Times New Roman"/>
          <w:color w:val="auto"/>
          <w:sz w:val="24"/>
          <w:szCs w:val="24"/>
        </w:rPr>
        <w:t>Note</w:t>
      </w:r>
      <w:r w:rsidR="00F15C14" w:rsidRPr="00A607AE">
        <w:rPr>
          <w:rFonts w:ascii="Times New Roman" w:hAnsi="Times New Roman" w:cs="Times New Roman"/>
          <w:color w:val="auto"/>
          <w:sz w:val="24"/>
          <w:szCs w:val="24"/>
        </w:rPr>
        <w:t xml:space="preserve">: </w:t>
      </w:r>
      <w:r w:rsidR="003D7581" w:rsidRPr="003D7581">
        <w:rPr>
          <w:rFonts w:ascii="Times New Roman" w:hAnsi="Times New Roman" w:cs="Times New Roman"/>
          <w:i w:val="0"/>
          <w:iCs w:val="0"/>
          <w:color w:val="auto"/>
          <w:sz w:val="24"/>
          <w:szCs w:val="24"/>
        </w:rPr>
        <w:t>Th</w:t>
      </w:r>
      <w:r w:rsidR="003D7581">
        <w:rPr>
          <w:rFonts w:ascii="Times New Roman" w:hAnsi="Times New Roman" w:cs="Times New Roman"/>
          <w:i w:val="0"/>
          <w:iCs w:val="0"/>
          <w:color w:val="auto"/>
          <w:sz w:val="24"/>
          <w:szCs w:val="24"/>
        </w:rPr>
        <w:t>is</w:t>
      </w:r>
      <w:r w:rsidR="003D7581" w:rsidRPr="003D7581">
        <w:rPr>
          <w:rFonts w:ascii="Times New Roman" w:hAnsi="Times New Roman" w:cs="Times New Roman"/>
          <w:i w:val="0"/>
          <w:iCs w:val="0"/>
          <w:color w:val="auto"/>
          <w:sz w:val="24"/>
          <w:szCs w:val="24"/>
        </w:rPr>
        <w:t xml:space="preserve"> flowchart </w:t>
      </w:r>
      <w:r w:rsidR="003D7581">
        <w:rPr>
          <w:rFonts w:ascii="Times New Roman" w:hAnsi="Times New Roman" w:cs="Times New Roman"/>
          <w:i w:val="0"/>
          <w:iCs w:val="0"/>
          <w:color w:val="auto"/>
          <w:sz w:val="24"/>
          <w:szCs w:val="24"/>
        </w:rPr>
        <w:t>summarizes</w:t>
      </w:r>
      <w:r w:rsidR="003D7581" w:rsidRPr="003D7581">
        <w:rPr>
          <w:rFonts w:ascii="Times New Roman" w:hAnsi="Times New Roman" w:cs="Times New Roman"/>
          <w:i w:val="0"/>
          <w:iCs w:val="0"/>
          <w:color w:val="auto"/>
          <w:sz w:val="24"/>
          <w:szCs w:val="24"/>
        </w:rPr>
        <w:t xml:space="preserve"> Simpcw</w:t>
      </w:r>
      <w:r w:rsidR="003D7581">
        <w:rPr>
          <w:rFonts w:ascii="Times New Roman" w:hAnsi="Times New Roman" w:cs="Times New Roman"/>
          <w:i w:val="0"/>
          <w:iCs w:val="0"/>
          <w:color w:val="auto"/>
          <w:sz w:val="24"/>
          <w:szCs w:val="24"/>
        </w:rPr>
        <w:t>’s</w:t>
      </w:r>
      <w:r w:rsidR="003D7581" w:rsidRPr="003D7581">
        <w:rPr>
          <w:rFonts w:ascii="Times New Roman" w:hAnsi="Times New Roman" w:cs="Times New Roman"/>
          <w:i w:val="0"/>
          <w:iCs w:val="0"/>
          <w:color w:val="auto"/>
          <w:sz w:val="24"/>
          <w:szCs w:val="24"/>
        </w:rPr>
        <w:t xml:space="preserve"> process for managing forestry referrals</w:t>
      </w:r>
      <w:r w:rsidR="00A162F7">
        <w:rPr>
          <w:rFonts w:ascii="Times New Roman" w:hAnsi="Times New Roman" w:cs="Times New Roman"/>
          <w:i w:val="0"/>
          <w:iCs w:val="0"/>
          <w:color w:val="auto"/>
          <w:sz w:val="24"/>
          <w:szCs w:val="24"/>
        </w:rPr>
        <w:t xml:space="preserve"> and </w:t>
      </w:r>
      <w:r w:rsidR="00E37F00">
        <w:rPr>
          <w:rFonts w:ascii="Times New Roman" w:hAnsi="Times New Roman" w:cs="Times New Roman"/>
          <w:i w:val="0"/>
          <w:iCs w:val="0"/>
          <w:color w:val="auto"/>
          <w:sz w:val="24"/>
          <w:szCs w:val="24"/>
        </w:rPr>
        <w:t>generally exemplifies how they manage Simpcwúlecw’ lands and resources</w:t>
      </w:r>
      <w:r w:rsidR="00A162F7">
        <w:rPr>
          <w:rFonts w:ascii="Times New Roman" w:hAnsi="Times New Roman" w:cs="Times New Roman"/>
          <w:i w:val="0"/>
          <w:iCs w:val="0"/>
          <w:color w:val="auto"/>
          <w:sz w:val="24"/>
          <w:szCs w:val="24"/>
        </w:rPr>
        <w:t>.</w:t>
      </w:r>
      <w:r w:rsidR="001C31FB">
        <w:rPr>
          <w:rFonts w:ascii="Times New Roman" w:hAnsi="Times New Roman" w:cs="Times New Roman"/>
          <w:i w:val="0"/>
          <w:iCs w:val="0"/>
          <w:color w:val="auto"/>
          <w:sz w:val="24"/>
          <w:szCs w:val="24"/>
        </w:rPr>
        <w:t xml:space="preserve"> Notably, all steps within </w:t>
      </w:r>
      <w:r w:rsidR="001C31FB">
        <w:rPr>
          <w:rFonts w:ascii="Times New Roman" w:hAnsi="Times New Roman" w:cs="Times New Roman"/>
          <w:i w:val="0"/>
          <w:iCs w:val="0"/>
          <w:color w:val="auto"/>
          <w:sz w:val="24"/>
          <w:szCs w:val="24"/>
        </w:rPr>
        <w:lastRenderedPageBreak/>
        <w:t>the referral process le</w:t>
      </w:r>
      <w:r w:rsidR="007E317C">
        <w:rPr>
          <w:rFonts w:ascii="Times New Roman" w:hAnsi="Times New Roman" w:cs="Times New Roman"/>
          <w:i w:val="0"/>
          <w:iCs w:val="0"/>
          <w:color w:val="auto"/>
          <w:sz w:val="24"/>
          <w:szCs w:val="24"/>
        </w:rPr>
        <w:t>d by Simpwc (all except Third Party Consult</w:t>
      </w:r>
      <w:r w:rsidR="001C31FB">
        <w:rPr>
          <w:rFonts w:ascii="Times New Roman" w:hAnsi="Times New Roman" w:cs="Times New Roman"/>
          <w:i w:val="0"/>
          <w:iCs w:val="0"/>
          <w:color w:val="auto"/>
          <w:sz w:val="24"/>
          <w:szCs w:val="24"/>
        </w:rPr>
        <w:t>ation) are</w:t>
      </w:r>
      <w:r w:rsidR="003D7581" w:rsidRPr="003D7581">
        <w:rPr>
          <w:rFonts w:ascii="Times New Roman" w:hAnsi="Times New Roman" w:cs="Times New Roman"/>
          <w:i w:val="0"/>
          <w:iCs w:val="0"/>
          <w:color w:val="auto"/>
          <w:sz w:val="24"/>
          <w:szCs w:val="24"/>
        </w:rPr>
        <w:t xml:space="preserve"> </w:t>
      </w:r>
      <w:r w:rsidR="001C31FB">
        <w:rPr>
          <w:rFonts w:ascii="Times New Roman" w:hAnsi="Times New Roman" w:cs="Times New Roman"/>
          <w:i w:val="0"/>
          <w:iCs w:val="0"/>
          <w:color w:val="auto"/>
          <w:sz w:val="24"/>
          <w:szCs w:val="24"/>
        </w:rPr>
        <w:t xml:space="preserve">grounded in the </w:t>
      </w:r>
      <w:r w:rsidR="003D7581" w:rsidRPr="003D7581">
        <w:rPr>
          <w:rFonts w:ascii="Times New Roman" w:hAnsi="Times New Roman" w:cs="Times New Roman"/>
          <w:i w:val="0"/>
          <w:iCs w:val="0"/>
          <w:color w:val="auto"/>
          <w:sz w:val="24"/>
          <w:szCs w:val="24"/>
        </w:rPr>
        <w:t xml:space="preserve">principles </w:t>
      </w:r>
      <w:r w:rsidR="009325B6">
        <w:rPr>
          <w:rFonts w:ascii="Times New Roman" w:hAnsi="Times New Roman" w:cs="Times New Roman"/>
          <w:i w:val="0"/>
          <w:iCs w:val="0"/>
          <w:color w:val="auto"/>
          <w:sz w:val="24"/>
          <w:szCs w:val="24"/>
        </w:rPr>
        <w:t xml:space="preserve">of </w:t>
      </w:r>
      <w:r w:rsidR="003D7581" w:rsidRPr="003D7581">
        <w:rPr>
          <w:rFonts w:ascii="Times New Roman" w:hAnsi="Times New Roman" w:cs="Times New Roman"/>
          <w:i w:val="0"/>
          <w:iCs w:val="0"/>
          <w:color w:val="auto"/>
          <w:sz w:val="24"/>
          <w:szCs w:val="24"/>
        </w:rPr>
        <w:t xml:space="preserve">Yecwmenúlecw, Tknémentem, and Xyemstém. </w:t>
      </w:r>
      <w:r w:rsidR="001C31FB">
        <w:rPr>
          <w:rFonts w:ascii="Times New Roman" w:hAnsi="Times New Roman" w:cs="Times New Roman"/>
          <w:i w:val="0"/>
          <w:iCs w:val="0"/>
          <w:color w:val="auto"/>
          <w:sz w:val="24"/>
          <w:szCs w:val="24"/>
        </w:rPr>
        <w:t xml:space="preserve">The referral process </w:t>
      </w:r>
      <w:r w:rsidR="00AF6EC9">
        <w:rPr>
          <w:rFonts w:ascii="Times New Roman" w:hAnsi="Times New Roman" w:cs="Times New Roman"/>
          <w:i w:val="0"/>
          <w:iCs w:val="0"/>
          <w:color w:val="auto"/>
          <w:sz w:val="24"/>
          <w:szCs w:val="24"/>
        </w:rPr>
        <w:t>begins with the Lands and Sustainable Resource Departments rec</w:t>
      </w:r>
      <w:r w:rsidR="003C30DD">
        <w:rPr>
          <w:rFonts w:ascii="Times New Roman" w:hAnsi="Times New Roman" w:cs="Times New Roman"/>
          <w:i w:val="0"/>
          <w:iCs w:val="0"/>
          <w:color w:val="auto"/>
          <w:sz w:val="24"/>
          <w:szCs w:val="24"/>
        </w:rPr>
        <w:t>e</w:t>
      </w:r>
      <w:r w:rsidR="00AF6EC9">
        <w:rPr>
          <w:rFonts w:ascii="Times New Roman" w:hAnsi="Times New Roman" w:cs="Times New Roman"/>
          <w:i w:val="0"/>
          <w:iCs w:val="0"/>
          <w:color w:val="auto"/>
          <w:sz w:val="24"/>
          <w:szCs w:val="24"/>
        </w:rPr>
        <w:t xml:space="preserve">iving information about </w:t>
      </w:r>
      <w:r w:rsidR="009630EE">
        <w:rPr>
          <w:rFonts w:ascii="Times New Roman" w:hAnsi="Times New Roman" w:cs="Times New Roman"/>
          <w:i w:val="0"/>
          <w:iCs w:val="0"/>
          <w:color w:val="auto"/>
          <w:sz w:val="24"/>
          <w:szCs w:val="24"/>
        </w:rPr>
        <w:t xml:space="preserve">the </w:t>
      </w:r>
      <w:r w:rsidR="003D7581" w:rsidRPr="003D7581">
        <w:rPr>
          <w:rFonts w:ascii="Times New Roman" w:hAnsi="Times New Roman" w:cs="Times New Roman"/>
          <w:i w:val="0"/>
          <w:iCs w:val="0"/>
          <w:color w:val="auto"/>
          <w:sz w:val="24"/>
          <w:szCs w:val="24"/>
        </w:rPr>
        <w:t>proposed forestry activities</w:t>
      </w:r>
      <w:r w:rsidR="00AF6EC9">
        <w:rPr>
          <w:rFonts w:ascii="Times New Roman" w:hAnsi="Times New Roman" w:cs="Times New Roman"/>
          <w:i w:val="0"/>
          <w:iCs w:val="0"/>
          <w:color w:val="auto"/>
          <w:sz w:val="24"/>
          <w:szCs w:val="24"/>
        </w:rPr>
        <w:t xml:space="preserve"> from </w:t>
      </w:r>
      <w:r w:rsidR="000116D7">
        <w:rPr>
          <w:rFonts w:ascii="Times New Roman" w:hAnsi="Times New Roman" w:cs="Times New Roman"/>
          <w:i w:val="0"/>
          <w:iCs w:val="0"/>
          <w:color w:val="auto"/>
          <w:sz w:val="24"/>
          <w:szCs w:val="24"/>
        </w:rPr>
        <w:t>a</w:t>
      </w:r>
      <w:r w:rsidR="00AF6EC9">
        <w:rPr>
          <w:rFonts w:ascii="Times New Roman" w:hAnsi="Times New Roman" w:cs="Times New Roman"/>
          <w:i w:val="0"/>
          <w:iCs w:val="0"/>
          <w:color w:val="auto"/>
          <w:sz w:val="24"/>
          <w:szCs w:val="24"/>
        </w:rPr>
        <w:t xml:space="preserve"> </w:t>
      </w:r>
      <w:r w:rsidR="002E1576">
        <w:rPr>
          <w:rFonts w:ascii="Times New Roman" w:hAnsi="Times New Roman" w:cs="Times New Roman"/>
          <w:i w:val="0"/>
          <w:iCs w:val="0"/>
          <w:color w:val="auto"/>
          <w:sz w:val="24"/>
          <w:szCs w:val="24"/>
        </w:rPr>
        <w:t>third party</w:t>
      </w:r>
      <w:r w:rsidR="009325B6">
        <w:rPr>
          <w:rFonts w:ascii="Times New Roman" w:hAnsi="Times New Roman" w:cs="Times New Roman"/>
          <w:i w:val="0"/>
          <w:iCs w:val="0"/>
          <w:color w:val="auto"/>
          <w:sz w:val="24"/>
          <w:szCs w:val="24"/>
        </w:rPr>
        <w:t xml:space="preserve"> (e.g. Logging company or Crown)</w:t>
      </w:r>
      <w:r w:rsidR="003C30DD">
        <w:rPr>
          <w:rFonts w:ascii="Times New Roman" w:hAnsi="Times New Roman" w:cs="Times New Roman"/>
          <w:i w:val="0"/>
          <w:iCs w:val="0"/>
          <w:color w:val="auto"/>
          <w:sz w:val="24"/>
          <w:szCs w:val="24"/>
        </w:rPr>
        <w:t>. Then, these departments</w:t>
      </w:r>
      <w:r w:rsidR="00782B68">
        <w:rPr>
          <w:rFonts w:ascii="Times New Roman" w:hAnsi="Times New Roman" w:cs="Times New Roman"/>
          <w:i w:val="0"/>
          <w:iCs w:val="0"/>
          <w:color w:val="auto"/>
          <w:sz w:val="24"/>
          <w:szCs w:val="24"/>
        </w:rPr>
        <w:t xml:space="preserve"> collaborate with</w:t>
      </w:r>
      <w:r w:rsidR="003D7581" w:rsidRPr="003D7581">
        <w:rPr>
          <w:rFonts w:ascii="Times New Roman" w:hAnsi="Times New Roman" w:cs="Times New Roman"/>
          <w:i w:val="0"/>
          <w:iCs w:val="0"/>
          <w:color w:val="auto"/>
          <w:sz w:val="24"/>
          <w:szCs w:val="24"/>
        </w:rPr>
        <w:t xml:space="preserve"> the Simpcw community </w:t>
      </w:r>
      <w:r w:rsidR="00782B68">
        <w:rPr>
          <w:rFonts w:ascii="Times New Roman" w:hAnsi="Times New Roman" w:cs="Times New Roman"/>
          <w:i w:val="0"/>
          <w:iCs w:val="0"/>
          <w:color w:val="auto"/>
          <w:sz w:val="24"/>
          <w:szCs w:val="24"/>
        </w:rPr>
        <w:t>and</w:t>
      </w:r>
      <w:r w:rsidR="003D7581" w:rsidRPr="003D7581">
        <w:rPr>
          <w:rFonts w:ascii="Times New Roman" w:hAnsi="Times New Roman" w:cs="Times New Roman"/>
          <w:i w:val="0"/>
          <w:iCs w:val="0"/>
          <w:color w:val="auto"/>
          <w:sz w:val="24"/>
          <w:szCs w:val="24"/>
        </w:rPr>
        <w:t xml:space="preserve"> the Chief &amp; Council to ensure </w:t>
      </w:r>
      <w:r w:rsidR="00782B68">
        <w:rPr>
          <w:rFonts w:ascii="Times New Roman" w:hAnsi="Times New Roman" w:cs="Times New Roman"/>
          <w:i w:val="0"/>
          <w:iCs w:val="0"/>
          <w:color w:val="auto"/>
          <w:sz w:val="24"/>
          <w:szCs w:val="24"/>
        </w:rPr>
        <w:t>that the proposed project</w:t>
      </w:r>
      <w:r w:rsidR="003D7581" w:rsidRPr="003D7581">
        <w:rPr>
          <w:rFonts w:ascii="Times New Roman" w:hAnsi="Times New Roman" w:cs="Times New Roman"/>
          <w:i w:val="0"/>
          <w:iCs w:val="0"/>
          <w:color w:val="auto"/>
          <w:sz w:val="24"/>
          <w:szCs w:val="24"/>
        </w:rPr>
        <w:t xml:space="preserve"> aligns with their </w:t>
      </w:r>
      <w:r w:rsidR="008A3981">
        <w:rPr>
          <w:rFonts w:ascii="Times New Roman" w:hAnsi="Times New Roman" w:cs="Times New Roman"/>
          <w:i w:val="0"/>
          <w:iCs w:val="0"/>
          <w:color w:val="auto"/>
          <w:sz w:val="24"/>
          <w:szCs w:val="24"/>
        </w:rPr>
        <w:t xml:space="preserve">collective </w:t>
      </w:r>
      <w:r w:rsidR="003D7581" w:rsidRPr="003D7581">
        <w:rPr>
          <w:rFonts w:ascii="Times New Roman" w:hAnsi="Times New Roman" w:cs="Times New Roman"/>
          <w:i w:val="0"/>
          <w:iCs w:val="0"/>
          <w:color w:val="auto"/>
          <w:sz w:val="24"/>
          <w:szCs w:val="24"/>
        </w:rPr>
        <w:t>values</w:t>
      </w:r>
      <w:r w:rsidR="002E1576">
        <w:rPr>
          <w:rFonts w:ascii="Times New Roman" w:hAnsi="Times New Roman" w:cs="Times New Roman"/>
          <w:i w:val="0"/>
          <w:iCs w:val="0"/>
          <w:color w:val="auto"/>
          <w:sz w:val="24"/>
          <w:szCs w:val="24"/>
        </w:rPr>
        <w:t>, and</w:t>
      </w:r>
      <w:r w:rsidR="000116D7">
        <w:rPr>
          <w:rFonts w:ascii="Times New Roman" w:hAnsi="Times New Roman" w:cs="Times New Roman"/>
          <w:i w:val="0"/>
          <w:iCs w:val="0"/>
          <w:color w:val="auto"/>
          <w:sz w:val="24"/>
          <w:szCs w:val="24"/>
        </w:rPr>
        <w:t xml:space="preserve"> the project is either rejected or</w:t>
      </w:r>
      <w:r w:rsidR="002E1576">
        <w:rPr>
          <w:rFonts w:ascii="Times New Roman" w:hAnsi="Times New Roman" w:cs="Times New Roman"/>
          <w:i w:val="0"/>
          <w:iCs w:val="0"/>
          <w:color w:val="auto"/>
          <w:sz w:val="24"/>
          <w:szCs w:val="24"/>
        </w:rPr>
        <w:t xml:space="preserve"> a response is sent </w:t>
      </w:r>
      <w:r w:rsidR="008A3981">
        <w:rPr>
          <w:rFonts w:ascii="Times New Roman" w:hAnsi="Times New Roman" w:cs="Times New Roman"/>
          <w:i w:val="0"/>
          <w:iCs w:val="0"/>
          <w:color w:val="auto"/>
          <w:sz w:val="24"/>
          <w:szCs w:val="24"/>
        </w:rPr>
        <w:t xml:space="preserve">with </w:t>
      </w:r>
      <w:r w:rsidR="00873A13">
        <w:rPr>
          <w:rFonts w:ascii="Times New Roman" w:hAnsi="Times New Roman" w:cs="Times New Roman"/>
          <w:i w:val="0"/>
          <w:iCs w:val="0"/>
          <w:color w:val="auto"/>
          <w:sz w:val="24"/>
          <w:szCs w:val="24"/>
        </w:rPr>
        <w:t>priorities the third party must meet</w:t>
      </w:r>
      <w:r w:rsidR="003D7581" w:rsidRPr="003D7581">
        <w:rPr>
          <w:rFonts w:ascii="Times New Roman" w:hAnsi="Times New Roman" w:cs="Times New Roman"/>
          <w:i w:val="0"/>
          <w:iCs w:val="0"/>
          <w:color w:val="auto"/>
          <w:sz w:val="24"/>
          <w:szCs w:val="24"/>
        </w:rPr>
        <w:t xml:space="preserve">. </w:t>
      </w:r>
      <w:r w:rsidR="00873A13">
        <w:rPr>
          <w:rFonts w:ascii="Times New Roman" w:hAnsi="Times New Roman" w:cs="Times New Roman"/>
          <w:i w:val="0"/>
          <w:iCs w:val="0"/>
          <w:color w:val="auto"/>
          <w:sz w:val="24"/>
          <w:szCs w:val="24"/>
        </w:rPr>
        <w:t>Following a response from the third party, c</w:t>
      </w:r>
      <w:r w:rsidR="003D7581" w:rsidRPr="003D7581">
        <w:rPr>
          <w:rFonts w:ascii="Times New Roman" w:hAnsi="Times New Roman" w:cs="Times New Roman"/>
          <w:i w:val="0"/>
          <w:iCs w:val="0"/>
          <w:color w:val="auto"/>
          <w:sz w:val="24"/>
          <w:szCs w:val="24"/>
        </w:rPr>
        <w:t>oncerns</w:t>
      </w:r>
      <w:r w:rsidR="00873A13">
        <w:rPr>
          <w:rFonts w:ascii="Times New Roman" w:hAnsi="Times New Roman" w:cs="Times New Roman"/>
          <w:i w:val="0"/>
          <w:iCs w:val="0"/>
          <w:color w:val="auto"/>
          <w:sz w:val="24"/>
          <w:szCs w:val="24"/>
        </w:rPr>
        <w:t xml:space="preserve"> and </w:t>
      </w:r>
      <w:r w:rsidR="000116D7">
        <w:rPr>
          <w:rFonts w:ascii="Times New Roman" w:hAnsi="Times New Roman" w:cs="Times New Roman"/>
          <w:i w:val="0"/>
          <w:iCs w:val="0"/>
          <w:color w:val="auto"/>
          <w:sz w:val="24"/>
          <w:szCs w:val="24"/>
        </w:rPr>
        <w:t xml:space="preserve">objections regarding the project </w:t>
      </w:r>
      <w:r w:rsidR="004B04EF">
        <w:rPr>
          <w:rFonts w:ascii="Times New Roman" w:hAnsi="Times New Roman" w:cs="Times New Roman"/>
          <w:i w:val="0"/>
          <w:iCs w:val="0"/>
          <w:color w:val="auto"/>
          <w:sz w:val="24"/>
          <w:szCs w:val="24"/>
        </w:rPr>
        <w:t xml:space="preserve">are </w:t>
      </w:r>
      <w:r w:rsidR="000116D7">
        <w:rPr>
          <w:rFonts w:ascii="Times New Roman" w:hAnsi="Times New Roman" w:cs="Times New Roman"/>
          <w:i w:val="0"/>
          <w:iCs w:val="0"/>
          <w:color w:val="auto"/>
          <w:sz w:val="24"/>
          <w:szCs w:val="24"/>
        </w:rPr>
        <w:t xml:space="preserve">given a venue </w:t>
      </w:r>
      <w:r w:rsidR="00E207EE">
        <w:rPr>
          <w:rFonts w:ascii="Times New Roman" w:hAnsi="Times New Roman" w:cs="Times New Roman"/>
          <w:i w:val="0"/>
          <w:iCs w:val="0"/>
          <w:color w:val="auto"/>
          <w:sz w:val="24"/>
          <w:szCs w:val="24"/>
        </w:rPr>
        <w:t>for each</w:t>
      </w:r>
      <w:r w:rsidR="004B04EF">
        <w:rPr>
          <w:rFonts w:ascii="Times New Roman" w:hAnsi="Times New Roman" w:cs="Times New Roman"/>
          <w:i w:val="0"/>
          <w:iCs w:val="0"/>
          <w:color w:val="auto"/>
          <w:sz w:val="24"/>
          <w:szCs w:val="24"/>
        </w:rPr>
        <w:t xml:space="preserve"> Simpcwc actor</w:t>
      </w:r>
      <w:r w:rsidR="003D7581" w:rsidRPr="003D7581">
        <w:rPr>
          <w:rFonts w:ascii="Times New Roman" w:hAnsi="Times New Roman" w:cs="Times New Roman"/>
          <w:i w:val="0"/>
          <w:iCs w:val="0"/>
          <w:color w:val="auto"/>
          <w:sz w:val="24"/>
          <w:szCs w:val="24"/>
        </w:rPr>
        <w:t xml:space="preserve"> during negotiations with the </w:t>
      </w:r>
      <w:r w:rsidR="002D4125">
        <w:rPr>
          <w:rFonts w:ascii="Times New Roman" w:hAnsi="Times New Roman" w:cs="Times New Roman"/>
          <w:i w:val="0"/>
          <w:iCs w:val="0"/>
          <w:color w:val="auto"/>
          <w:sz w:val="24"/>
          <w:szCs w:val="24"/>
        </w:rPr>
        <w:t>third party</w:t>
      </w:r>
      <w:r w:rsidR="004B04EF">
        <w:rPr>
          <w:rFonts w:ascii="Times New Roman" w:hAnsi="Times New Roman" w:cs="Times New Roman"/>
          <w:i w:val="0"/>
          <w:iCs w:val="0"/>
          <w:color w:val="auto"/>
          <w:sz w:val="24"/>
          <w:szCs w:val="24"/>
        </w:rPr>
        <w:t>. From here</w:t>
      </w:r>
      <w:r w:rsidR="00351D76">
        <w:rPr>
          <w:rFonts w:ascii="Times New Roman" w:hAnsi="Times New Roman" w:cs="Times New Roman"/>
          <w:i w:val="0"/>
          <w:iCs w:val="0"/>
          <w:color w:val="auto"/>
          <w:sz w:val="24"/>
          <w:szCs w:val="24"/>
        </w:rPr>
        <w:t>, a</w:t>
      </w:r>
      <w:r w:rsidR="003D7581" w:rsidRPr="003D7581">
        <w:rPr>
          <w:rFonts w:ascii="Times New Roman" w:hAnsi="Times New Roman" w:cs="Times New Roman"/>
          <w:i w:val="0"/>
          <w:iCs w:val="0"/>
          <w:color w:val="auto"/>
          <w:sz w:val="24"/>
          <w:szCs w:val="24"/>
        </w:rPr>
        <w:t xml:space="preserve"> dispute resolution</w:t>
      </w:r>
      <w:r w:rsidR="00351D76">
        <w:rPr>
          <w:rFonts w:ascii="Times New Roman" w:hAnsi="Times New Roman" w:cs="Times New Roman"/>
          <w:i w:val="0"/>
          <w:iCs w:val="0"/>
          <w:color w:val="auto"/>
          <w:sz w:val="24"/>
          <w:szCs w:val="24"/>
        </w:rPr>
        <w:t xml:space="preserve"> may occur</w:t>
      </w:r>
      <w:r w:rsidR="003D7581" w:rsidRPr="003D7581">
        <w:rPr>
          <w:rFonts w:ascii="Times New Roman" w:hAnsi="Times New Roman" w:cs="Times New Roman"/>
          <w:i w:val="0"/>
          <w:iCs w:val="0"/>
          <w:color w:val="auto"/>
          <w:sz w:val="24"/>
          <w:szCs w:val="24"/>
        </w:rPr>
        <w:t xml:space="preserve"> if </w:t>
      </w:r>
      <w:r w:rsidR="00E207EE">
        <w:rPr>
          <w:rFonts w:ascii="Times New Roman" w:hAnsi="Times New Roman" w:cs="Times New Roman"/>
          <w:i w:val="0"/>
          <w:iCs w:val="0"/>
          <w:color w:val="auto"/>
          <w:sz w:val="24"/>
          <w:szCs w:val="24"/>
        </w:rPr>
        <w:t>a consensus is not reached</w:t>
      </w:r>
      <w:r w:rsidR="00DD2D10">
        <w:rPr>
          <w:rFonts w:ascii="Times New Roman" w:hAnsi="Times New Roman" w:cs="Times New Roman"/>
          <w:i w:val="0"/>
          <w:iCs w:val="0"/>
          <w:color w:val="auto"/>
          <w:sz w:val="24"/>
          <w:szCs w:val="24"/>
        </w:rPr>
        <w:t xml:space="preserve"> or Simpcwc rejects</w:t>
      </w:r>
      <w:r w:rsidR="00734A7E">
        <w:rPr>
          <w:rFonts w:ascii="Times New Roman" w:hAnsi="Times New Roman" w:cs="Times New Roman"/>
          <w:i w:val="0"/>
          <w:iCs w:val="0"/>
          <w:color w:val="auto"/>
          <w:sz w:val="24"/>
          <w:szCs w:val="24"/>
        </w:rPr>
        <w:t xml:space="preserve"> the proposal</w:t>
      </w:r>
      <w:r w:rsidR="003D7581" w:rsidRPr="003D7581">
        <w:rPr>
          <w:rFonts w:ascii="Times New Roman" w:hAnsi="Times New Roman" w:cs="Times New Roman"/>
          <w:i w:val="0"/>
          <w:iCs w:val="0"/>
          <w:color w:val="auto"/>
          <w:sz w:val="24"/>
          <w:szCs w:val="24"/>
        </w:rPr>
        <w:t xml:space="preserve">. </w:t>
      </w:r>
      <w:r w:rsidR="00A80671">
        <w:rPr>
          <w:rFonts w:ascii="Times New Roman" w:hAnsi="Times New Roman" w:cs="Times New Roman"/>
          <w:i w:val="0"/>
          <w:iCs w:val="0"/>
          <w:color w:val="auto"/>
          <w:sz w:val="24"/>
          <w:szCs w:val="24"/>
        </w:rPr>
        <w:t xml:space="preserve">Once </w:t>
      </w:r>
      <w:r w:rsidR="00734A7E">
        <w:rPr>
          <w:rFonts w:ascii="Times New Roman" w:hAnsi="Times New Roman" w:cs="Times New Roman"/>
          <w:i w:val="0"/>
          <w:iCs w:val="0"/>
          <w:color w:val="auto"/>
          <w:sz w:val="24"/>
          <w:szCs w:val="24"/>
        </w:rPr>
        <w:t>all actors within Simpcwc have accepted the project proposal</w:t>
      </w:r>
      <w:r w:rsidR="00A80671">
        <w:rPr>
          <w:rFonts w:ascii="Times New Roman" w:hAnsi="Times New Roman" w:cs="Times New Roman"/>
          <w:i w:val="0"/>
          <w:iCs w:val="0"/>
          <w:color w:val="auto"/>
          <w:sz w:val="24"/>
          <w:szCs w:val="24"/>
        </w:rPr>
        <w:t>, the</w:t>
      </w:r>
      <w:r w:rsidR="003D7581" w:rsidRPr="003D7581">
        <w:rPr>
          <w:rFonts w:ascii="Times New Roman" w:hAnsi="Times New Roman" w:cs="Times New Roman"/>
          <w:i w:val="0"/>
          <w:iCs w:val="0"/>
          <w:color w:val="auto"/>
          <w:sz w:val="24"/>
          <w:szCs w:val="24"/>
        </w:rPr>
        <w:t xml:space="preserve"> implementation and monitoring phase</w:t>
      </w:r>
      <w:r w:rsidR="00A80671">
        <w:rPr>
          <w:rFonts w:ascii="Times New Roman" w:hAnsi="Times New Roman" w:cs="Times New Roman"/>
          <w:i w:val="0"/>
          <w:iCs w:val="0"/>
          <w:color w:val="auto"/>
          <w:sz w:val="24"/>
          <w:szCs w:val="24"/>
        </w:rPr>
        <w:t xml:space="preserve"> begins and is</w:t>
      </w:r>
      <w:r w:rsidR="003D7581" w:rsidRPr="003D7581">
        <w:rPr>
          <w:rFonts w:ascii="Times New Roman" w:hAnsi="Times New Roman" w:cs="Times New Roman"/>
          <w:i w:val="0"/>
          <w:iCs w:val="0"/>
          <w:color w:val="auto"/>
          <w:sz w:val="24"/>
          <w:szCs w:val="24"/>
        </w:rPr>
        <w:t xml:space="preserve"> overseen by the Lands Department </w:t>
      </w:r>
      <w:r w:rsidR="00A80671">
        <w:rPr>
          <w:rFonts w:ascii="Times New Roman" w:hAnsi="Times New Roman" w:cs="Times New Roman"/>
          <w:i w:val="0"/>
          <w:iCs w:val="0"/>
          <w:color w:val="auto"/>
          <w:sz w:val="24"/>
          <w:szCs w:val="24"/>
        </w:rPr>
        <w:t xml:space="preserve">and </w:t>
      </w:r>
      <w:r w:rsidR="003D7581" w:rsidRPr="003D7581">
        <w:rPr>
          <w:rFonts w:ascii="Times New Roman" w:hAnsi="Times New Roman" w:cs="Times New Roman"/>
          <w:i w:val="0"/>
          <w:iCs w:val="0"/>
          <w:color w:val="auto"/>
          <w:sz w:val="24"/>
          <w:szCs w:val="24"/>
        </w:rPr>
        <w:t>Sustainable Resource Department</w:t>
      </w:r>
      <w:r w:rsidR="00734A7E">
        <w:rPr>
          <w:rFonts w:ascii="Times New Roman" w:hAnsi="Times New Roman" w:cs="Times New Roman"/>
          <w:i w:val="0"/>
          <w:iCs w:val="0"/>
          <w:color w:val="auto"/>
          <w:sz w:val="24"/>
          <w:szCs w:val="24"/>
        </w:rPr>
        <w:t>s</w:t>
      </w:r>
      <w:r w:rsidR="00A80671">
        <w:rPr>
          <w:rFonts w:ascii="Times New Roman" w:hAnsi="Times New Roman" w:cs="Times New Roman"/>
          <w:i w:val="0"/>
          <w:iCs w:val="0"/>
          <w:color w:val="auto"/>
          <w:sz w:val="24"/>
          <w:szCs w:val="24"/>
        </w:rPr>
        <w:t>. Toge</w:t>
      </w:r>
      <w:r w:rsidR="00C166DD">
        <w:rPr>
          <w:rFonts w:ascii="Times New Roman" w:hAnsi="Times New Roman" w:cs="Times New Roman"/>
          <w:i w:val="0"/>
          <w:iCs w:val="0"/>
          <w:color w:val="auto"/>
          <w:sz w:val="24"/>
          <w:szCs w:val="24"/>
        </w:rPr>
        <w:t>ther, they</w:t>
      </w:r>
      <w:r w:rsidR="003D7581" w:rsidRPr="003D7581">
        <w:rPr>
          <w:rFonts w:ascii="Times New Roman" w:hAnsi="Times New Roman" w:cs="Times New Roman"/>
          <w:i w:val="0"/>
          <w:iCs w:val="0"/>
          <w:color w:val="auto"/>
          <w:sz w:val="24"/>
          <w:szCs w:val="24"/>
        </w:rPr>
        <w:t xml:space="preserve"> ensur</w:t>
      </w:r>
      <w:r w:rsidR="00C166DD">
        <w:rPr>
          <w:rFonts w:ascii="Times New Roman" w:hAnsi="Times New Roman" w:cs="Times New Roman"/>
          <w:i w:val="0"/>
          <w:iCs w:val="0"/>
          <w:color w:val="auto"/>
          <w:sz w:val="24"/>
          <w:szCs w:val="24"/>
        </w:rPr>
        <w:t>e</w:t>
      </w:r>
      <w:r w:rsidR="003D7581" w:rsidRPr="003D7581">
        <w:rPr>
          <w:rFonts w:ascii="Times New Roman" w:hAnsi="Times New Roman" w:cs="Times New Roman"/>
          <w:i w:val="0"/>
          <w:iCs w:val="0"/>
          <w:color w:val="auto"/>
          <w:sz w:val="24"/>
          <w:szCs w:val="24"/>
        </w:rPr>
        <w:t xml:space="preserve"> that </w:t>
      </w:r>
      <w:r w:rsidR="00C166DD">
        <w:rPr>
          <w:rFonts w:ascii="Times New Roman" w:hAnsi="Times New Roman" w:cs="Times New Roman"/>
          <w:i w:val="0"/>
          <w:iCs w:val="0"/>
          <w:color w:val="auto"/>
          <w:sz w:val="24"/>
          <w:szCs w:val="24"/>
        </w:rPr>
        <w:t xml:space="preserve">the project </w:t>
      </w:r>
      <w:r w:rsidR="003D7581" w:rsidRPr="003D7581">
        <w:rPr>
          <w:rFonts w:ascii="Times New Roman" w:hAnsi="Times New Roman" w:cs="Times New Roman"/>
          <w:i w:val="0"/>
          <w:iCs w:val="0"/>
          <w:color w:val="auto"/>
          <w:sz w:val="24"/>
          <w:szCs w:val="24"/>
        </w:rPr>
        <w:t>uphold</w:t>
      </w:r>
      <w:r w:rsidR="00C166DD">
        <w:rPr>
          <w:rFonts w:ascii="Times New Roman" w:hAnsi="Times New Roman" w:cs="Times New Roman"/>
          <w:i w:val="0"/>
          <w:iCs w:val="0"/>
          <w:color w:val="auto"/>
          <w:sz w:val="24"/>
          <w:szCs w:val="24"/>
        </w:rPr>
        <w:t>s the agreed</w:t>
      </w:r>
      <w:r w:rsidR="004845B4">
        <w:rPr>
          <w:rFonts w:ascii="Times New Roman" w:hAnsi="Times New Roman" w:cs="Times New Roman"/>
          <w:i w:val="0"/>
          <w:iCs w:val="0"/>
          <w:color w:val="auto"/>
          <w:sz w:val="24"/>
          <w:szCs w:val="24"/>
        </w:rPr>
        <w:t xml:space="preserve">-upon terms </w:t>
      </w:r>
      <w:r w:rsidR="00DD2D10">
        <w:rPr>
          <w:rFonts w:ascii="Times New Roman" w:hAnsi="Times New Roman" w:cs="Times New Roman"/>
          <w:i w:val="0"/>
          <w:iCs w:val="0"/>
          <w:color w:val="auto"/>
          <w:sz w:val="24"/>
          <w:szCs w:val="24"/>
        </w:rPr>
        <w:t>for</w:t>
      </w:r>
      <w:r w:rsidR="00C166DD">
        <w:rPr>
          <w:rFonts w:ascii="Times New Roman" w:hAnsi="Times New Roman" w:cs="Times New Roman"/>
          <w:i w:val="0"/>
          <w:iCs w:val="0"/>
          <w:color w:val="auto"/>
          <w:sz w:val="24"/>
          <w:szCs w:val="24"/>
        </w:rPr>
        <w:t xml:space="preserve"> the community and Chief and Council.</w:t>
      </w:r>
      <w:r w:rsidR="00620DC4">
        <w:rPr>
          <w:rFonts w:ascii="Times New Roman" w:hAnsi="Times New Roman" w:cs="Times New Roman"/>
          <w:i w:val="0"/>
          <w:iCs w:val="0"/>
          <w:color w:val="auto"/>
          <w:sz w:val="24"/>
          <w:szCs w:val="24"/>
        </w:rPr>
        <w:t xml:space="preserve"> </w:t>
      </w:r>
    </w:p>
    <w:p w14:paraId="6A75B357" w14:textId="77777777" w:rsidR="00107F1F" w:rsidRDefault="00107F1F">
      <w:pPr>
        <w:rPr>
          <w:rFonts w:ascii="Times New Roman" w:hAnsi="Times New Roman" w:cs="Times New Roman"/>
        </w:rPr>
      </w:pPr>
      <w:r>
        <w:rPr>
          <w:rFonts w:ascii="Times New Roman" w:hAnsi="Times New Roman" w:cs="Times New Roman"/>
          <w:i/>
          <w:iCs/>
        </w:rPr>
        <w:br w:type="page"/>
      </w:r>
    </w:p>
    <w:p w14:paraId="3B8B2821" w14:textId="7CD2D65F" w:rsidR="0016357A" w:rsidRPr="00107F1F" w:rsidRDefault="00107F1F" w:rsidP="00786862">
      <w:pPr>
        <w:pStyle w:val="Caption"/>
        <w:rPr>
          <w:rFonts w:ascii="Times New Roman" w:hAnsi="Times New Roman" w:cs="Times New Roman"/>
          <w:b/>
          <w:bCs/>
          <w:i w:val="0"/>
          <w:iCs w:val="0"/>
          <w:color w:val="auto"/>
          <w:sz w:val="24"/>
          <w:szCs w:val="24"/>
        </w:rPr>
      </w:pPr>
      <w:r w:rsidRPr="00107F1F">
        <w:rPr>
          <w:rFonts w:ascii="Times New Roman" w:hAnsi="Times New Roman" w:cs="Times New Roman"/>
          <w:b/>
          <w:bCs/>
          <w:i w:val="0"/>
          <w:iCs w:val="0"/>
          <w:color w:val="auto"/>
          <w:sz w:val="24"/>
          <w:szCs w:val="24"/>
        </w:rPr>
        <w:lastRenderedPageBreak/>
        <w:t>References</w:t>
      </w:r>
    </w:p>
    <w:p w14:paraId="4AAD2C92" w14:textId="77777777" w:rsidR="00107F1F" w:rsidRDefault="00107F1F" w:rsidP="00107F1F"/>
    <w:p w14:paraId="107ED9AA" w14:textId="77777777" w:rsidR="005F3D60" w:rsidRPr="005F3D60" w:rsidRDefault="00107F1F" w:rsidP="005F3D60">
      <w:pPr>
        <w:pStyle w:val="Bibliography"/>
        <w:rPr>
          <w:rFonts w:ascii="Calibri" w:cs="Calibri"/>
          <w:lang w:val="en-US"/>
        </w:rPr>
      </w:pPr>
      <w:r>
        <w:fldChar w:fldCharType="begin"/>
      </w:r>
      <w:r>
        <w:instrText xml:space="preserve"> ADDIN ZOTERO_BIBL {"uncited":[],"omitted":[],"custom":[]} CSL_BIBLIOGRAPHY </w:instrText>
      </w:r>
      <w:r>
        <w:fldChar w:fldCharType="separate"/>
      </w:r>
      <w:r w:rsidR="005F3D60" w:rsidRPr="005F3D60">
        <w:rPr>
          <w:rFonts w:ascii="Calibri" w:cs="Calibri"/>
          <w:lang w:val="en-US"/>
        </w:rPr>
        <w:t xml:space="preserve">Chiefs of the Shuswap, Okanagan, and Couteau Tribes. (1910, August 22). </w:t>
      </w:r>
      <w:r w:rsidR="005F3D60" w:rsidRPr="005F3D60">
        <w:rPr>
          <w:rFonts w:ascii="Calibri" w:cs="Calibri"/>
          <w:i/>
          <w:iCs/>
          <w:lang w:val="en-US"/>
        </w:rPr>
        <w:t>Cihm_16242.pdf</w:t>
      </w:r>
      <w:r w:rsidR="005F3D60" w:rsidRPr="005F3D60">
        <w:rPr>
          <w:rFonts w:ascii="Calibri" w:cs="Calibri"/>
          <w:lang w:val="en-US"/>
        </w:rPr>
        <w:t xml:space="preserve"> (Laurier Papers, Series A Correspondence, 22 July to 30 August 1910). Library and Archives Canada.</w:t>
      </w:r>
    </w:p>
    <w:p w14:paraId="6D70FE56" w14:textId="77777777" w:rsidR="005F3D60" w:rsidRPr="005F3D60" w:rsidRDefault="005F3D60" w:rsidP="005F3D60">
      <w:pPr>
        <w:pStyle w:val="Bibliography"/>
        <w:rPr>
          <w:rFonts w:ascii="Calibri" w:cs="Calibri"/>
          <w:lang w:val="en-US"/>
        </w:rPr>
      </w:pPr>
      <w:r w:rsidRPr="005F3D60">
        <w:rPr>
          <w:rFonts w:ascii="Calibri" w:cs="Calibri"/>
          <w:lang w:val="en-US"/>
        </w:rPr>
        <w:t xml:space="preserve">Darwin Holmes, A. G. (2020). Researcher Positionality—A Consideration of Its Influence and Place in Qualitative Research—A New Researcher Guide. </w:t>
      </w:r>
      <w:r w:rsidRPr="005F3D60">
        <w:rPr>
          <w:rFonts w:ascii="Calibri" w:cs="Calibri"/>
          <w:i/>
          <w:iCs/>
          <w:lang w:val="en-US"/>
        </w:rPr>
        <w:t>Shanlax International Journal of Education</w:t>
      </w:r>
      <w:r w:rsidRPr="005F3D60">
        <w:rPr>
          <w:rFonts w:ascii="Calibri" w:cs="Calibri"/>
          <w:lang w:val="en-US"/>
        </w:rPr>
        <w:t xml:space="preserve">, </w:t>
      </w:r>
      <w:r w:rsidRPr="005F3D60">
        <w:rPr>
          <w:rFonts w:ascii="Calibri" w:cs="Calibri"/>
          <w:i/>
          <w:iCs/>
          <w:lang w:val="en-US"/>
        </w:rPr>
        <w:t>8</w:t>
      </w:r>
      <w:r w:rsidRPr="005F3D60">
        <w:rPr>
          <w:rFonts w:ascii="Calibri" w:cs="Calibri"/>
          <w:lang w:val="en-US"/>
        </w:rPr>
        <w:t>(4), 1–10. https://doi.org/10.34293/education.v8i4.3232</w:t>
      </w:r>
    </w:p>
    <w:p w14:paraId="22DA1032" w14:textId="77777777" w:rsidR="005F3D60" w:rsidRPr="005F3D60" w:rsidRDefault="005F3D60" w:rsidP="005F3D60">
      <w:pPr>
        <w:pStyle w:val="Bibliography"/>
        <w:rPr>
          <w:rFonts w:ascii="Calibri" w:cs="Calibri"/>
          <w:lang w:val="en-US"/>
        </w:rPr>
      </w:pPr>
      <w:r w:rsidRPr="005F3D60">
        <w:rPr>
          <w:rFonts w:ascii="Calibri" w:cs="Calibri"/>
          <w:lang w:val="en-US"/>
        </w:rPr>
        <w:t xml:space="preserve">Laurie McNeil &amp; Associates. (2012). </w:t>
      </w:r>
      <w:r w:rsidRPr="005F3D60">
        <w:rPr>
          <w:rFonts w:ascii="Calibri" w:cs="Calibri"/>
          <w:i/>
          <w:iCs/>
          <w:lang w:val="en-US"/>
        </w:rPr>
        <w:t>Harper Creek Copper|Gold|Silver Mine Project: Socio-Economic Assessment Report  – First Nations Overview</w:t>
      </w:r>
      <w:r w:rsidRPr="005F3D60">
        <w:rPr>
          <w:rFonts w:ascii="Calibri" w:cs="Calibri"/>
          <w:lang w:val="en-US"/>
        </w:rPr>
        <w:t>. https://iaac-aeic.gc.ca/050/documents/p61898/100969E.pdf</w:t>
      </w:r>
    </w:p>
    <w:p w14:paraId="22AC17AC" w14:textId="77777777" w:rsidR="005F3D60" w:rsidRPr="005F3D60" w:rsidRDefault="005F3D60" w:rsidP="005F3D60">
      <w:pPr>
        <w:pStyle w:val="Bibliography"/>
        <w:rPr>
          <w:rFonts w:ascii="Calibri" w:cs="Calibri"/>
          <w:lang w:val="en-US"/>
        </w:rPr>
      </w:pPr>
      <w:r w:rsidRPr="005F3D60">
        <w:rPr>
          <w:rFonts w:ascii="Calibri" w:cs="Calibri"/>
          <w:lang w:val="en-US"/>
        </w:rPr>
        <w:t xml:space="preserve">National Centre for First Nations. (2020). </w:t>
      </w:r>
      <w:r w:rsidRPr="005F3D60">
        <w:rPr>
          <w:rFonts w:ascii="Calibri" w:cs="Calibri"/>
          <w:i/>
          <w:iCs/>
          <w:lang w:val="en-US"/>
        </w:rPr>
        <w:t>Consultation Fact Sheet</w:t>
      </w:r>
      <w:r w:rsidRPr="005F3D60">
        <w:rPr>
          <w:rFonts w:ascii="Calibri" w:cs="Calibri"/>
          <w:lang w:val="en-US"/>
        </w:rPr>
        <w:t>. National Centre for First Nations. chrome-extension://efaidnbmnnnibpcajpcglclefindmkaj/https://fngovernance.org/wp-content/uploads/2020/06/Consultation_Steps_Factsheet.pdf</w:t>
      </w:r>
    </w:p>
    <w:p w14:paraId="3F14DC3B" w14:textId="77777777" w:rsidR="005F3D60" w:rsidRPr="005F3D60" w:rsidRDefault="005F3D60" w:rsidP="005F3D60">
      <w:pPr>
        <w:pStyle w:val="Bibliography"/>
        <w:rPr>
          <w:rFonts w:ascii="Calibri" w:cs="Calibri"/>
          <w:lang w:val="en-US"/>
        </w:rPr>
      </w:pPr>
      <w:r w:rsidRPr="005F3D60">
        <w:rPr>
          <w:rFonts w:ascii="Calibri" w:cs="Calibri"/>
          <w:lang w:val="en-US"/>
        </w:rPr>
        <w:t xml:space="preserve">Simpcwc First Nation. (2012). </w:t>
      </w:r>
      <w:r w:rsidRPr="005F3D60">
        <w:rPr>
          <w:rFonts w:ascii="Calibri" w:cs="Calibri"/>
          <w:i/>
          <w:iCs/>
          <w:lang w:val="en-US"/>
        </w:rPr>
        <w:t>Traditional Land Use &amp; Ecological Knowledge Study: Public Version</w:t>
      </w:r>
      <w:r w:rsidRPr="005F3D60">
        <w:rPr>
          <w:rFonts w:ascii="Calibri" w:cs="Calibri"/>
          <w:lang w:val="en-US"/>
        </w:rPr>
        <w:t>. https://iaac-aeic.gc.ca/050/documents/p61898/100972E.pdf</w:t>
      </w:r>
    </w:p>
    <w:p w14:paraId="1E51867F" w14:textId="77777777" w:rsidR="005F3D60" w:rsidRPr="005F3D60" w:rsidRDefault="005F3D60" w:rsidP="005F3D60">
      <w:pPr>
        <w:pStyle w:val="Bibliography"/>
        <w:rPr>
          <w:rFonts w:ascii="Calibri" w:cs="Calibri"/>
          <w:lang w:val="en-US"/>
        </w:rPr>
      </w:pPr>
      <w:r w:rsidRPr="005F3D60">
        <w:rPr>
          <w:rFonts w:ascii="Calibri" w:cs="Calibri"/>
          <w:lang w:val="en-US"/>
        </w:rPr>
        <w:t xml:space="preserve">Simpcwc First Nation. (2023). </w:t>
      </w:r>
      <w:r w:rsidRPr="005F3D60">
        <w:rPr>
          <w:rFonts w:ascii="Calibri" w:cs="Calibri"/>
          <w:i/>
          <w:iCs/>
          <w:lang w:val="en-US"/>
        </w:rPr>
        <w:t>Simpcw Interim Stewardship Plan</w:t>
      </w:r>
      <w:r w:rsidRPr="005F3D60">
        <w:rPr>
          <w:rFonts w:ascii="Calibri" w:cs="Calibri"/>
          <w:lang w:val="en-US"/>
        </w:rPr>
        <w:t>. SFN. https://www.simpcw.com › docs › 2023-09-05_si...</w:t>
      </w:r>
    </w:p>
    <w:p w14:paraId="38A17F6B" w14:textId="77777777" w:rsidR="005F3D60" w:rsidRPr="005F3D60" w:rsidRDefault="005F3D60" w:rsidP="005F3D60">
      <w:pPr>
        <w:pStyle w:val="Bibliography"/>
        <w:rPr>
          <w:rFonts w:ascii="Calibri" w:cs="Calibri"/>
          <w:lang w:val="en-US"/>
        </w:rPr>
      </w:pPr>
      <w:r w:rsidRPr="005F3D60">
        <w:rPr>
          <w:rFonts w:ascii="Calibri" w:cs="Calibri"/>
          <w:lang w:val="en-US"/>
        </w:rPr>
        <w:t xml:space="preserve">Tuck, E. (2013). Commentary: Decolonizing Methodologies 15 years later. </w:t>
      </w:r>
      <w:r w:rsidRPr="005F3D60">
        <w:rPr>
          <w:rFonts w:ascii="Calibri" w:cs="Calibri"/>
          <w:i/>
          <w:iCs/>
          <w:lang w:val="en-US"/>
        </w:rPr>
        <w:t>AlterNative: An International Journal of Indigenous Peoples</w:t>
      </w:r>
      <w:r w:rsidRPr="005F3D60">
        <w:rPr>
          <w:rFonts w:ascii="Calibri" w:cs="Calibri"/>
          <w:lang w:val="en-US"/>
        </w:rPr>
        <w:t xml:space="preserve">, </w:t>
      </w:r>
      <w:r w:rsidRPr="005F3D60">
        <w:rPr>
          <w:rFonts w:ascii="Calibri" w:cs="Calibri"/>
          <w:i/>
          <w:iCs/>
          <w:lang w:val="en-US"/>
        </w:rPr>
        <w:t>9</w:t>
      </w:r>
      <w:r w:rsidRPr="005F3D60">
        <w:rPr>
          <w:rFonts w:ascii="Calibri" w:cs="Calibri"/>
          <w:lang w:val="en-US"/>
        </w:rPr>
        <w:t>(4), 365–372. https://doi.org/10.1177/117718011300900407</w:t>
      </w:r>
    </w:p>
    <w:p w14:paraId="26A1F813" w14:textId="77777777" w:rsidR="005F3D60" w:rsidRPr="005F3D60" w:rsidRDefault="005F3D60" w:rsidP="005F3D60">
      <w:pPr>
        <w:pStyle w:val="Bibliography"/>
        <w:rPr>
          <w:rFonts w:ascii="Calibri" w:cs="Calibri"/>
          <w:lang w:val="en-US"/>
        </w:rPr>
      </w:pPr>
      <w:r w:rsidRPr="005F3D60">
        <w:rPr>
          <w:rFonts w:ascii="Calibri" w:cs="Calibri"/>
          <w:lang w:val="en-US"/>
        </w:rPr>
        <w:lastRenderedPageBreak/>
        <w:t xml:space="preserve">Wong, C., Ballegooyen, K., Ignace, L., Johnson, M. J. (Gùdia), &amp; Swanson, H. (2020). Towards reconciliation: 10 Calls to Action to natural scientists working in Canada. </w:t>
      </w:r>
      <w:r w:rsidRPr="005F3D60">
        <w:rPr>
          <w:rFonts w:ascii="Calibri" w:cs="Calibri"/>
          <w:i/>
          <w:iCs/>
          <w:lang w:val="en-US"/>
        </w:rPr>
        <w:t>FACETS</w:t>
      </w:r>
      <w:r w:rsidRPr="005F3D60">
        <w:rPr>
          <w:rFonts w:ascii="Calibri" w:cs="Calibri"/>
          <w:lang w:val="en-US"/>
        </w:rPr>
        <w:t xml:space="preserve">, </w:t>
      </w:r>
      <w:r w:rsidRPr="005F3D60">
        <w:rPr>
          <w:rFonts w:ascii="Calibri" w:cs="Calibri"/>
          <w:i/>
          <w:iCs/>
          <w:lang w:val="en-US"/>
        </w:rPr>
        <w:t>5</w:t>
      </w:r>
      <w:r w:rsidRPr="005F3D60">
        <w:rPr>
          <w:rFonts w:ascii="Calibri" w:cs="Calibri"/>
          <w:lang w:val="en-US"/>
        </w:rPr>
        <w:t>(1), 769–783. https://doi.org/10.1139/facets-2020-0005</w:t>
      </w:r>
    </w:p>
    <w:p w14:paraId="6E4BC25D" w14:textId="59D67E44" w:rsidR="00107F1F" w:rsidRPr="00107F1F" w:rsidRDefault="00107F1F" w:rsidP="00107F1F">
      <w:r>
        <w:fldChar w:fldCharType="end"/>
      </w:r>
    </w:p>
    <w:sectPr w:rsidR="00107F1F" w:rsidRPr="00107F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4EC2"/>
    <w:multiLevelType w:val="hybridMultilevel"/>
    <w:tmpl w:val="D26A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C179A"/>
    <w:multiLevelType w:val="hybridMultilevel"/>
    <w:tmpl w:val="901E4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9E2285"/>
    <w:multiLevelType w:val="hybridMultilevel"/>
    <w:tmpl w:val="04E2D548"/>
    <w:lvl w:ilvl="0" w:tplc="75D4A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1254592">
    <w:abstractNumId w:val="0"/>
  </w:num>
  <w:num w:numId="2" w16cid:durableId="772287285">
    <w:abstractNumId w:val="2"/>
  </w:num>
  <w:num w:numId="3" w16cid:durableId="116686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9B"/>
    <w:rsid w:val="00000271"/>
    <w:rsid w:val="00003268"/>
    <w:rsid w:val="000116D7"/>
    <w:rsid w:val="00021907"/>
    <w:rsid w:val="00023C21"/>
    <w:rsid w:val="00034C3C"/>
    <w:rsid w:val="00045057"/>
    <w:rsid w:val="0005459F"/>
    <w:rsid w:val="00063910"/>
    <w:rsid w:val="000737AF"/>
    <w:rsid w:val="0009358C"/>
    <w:rsid w:val="00093F16"/>
    <w:rsid w:val="00096759"/>
    <w:rsid w:val="000B2E6F"/>
    <w:rsid w:val="000B37D2"/>
    <w:rsid w:val="000E1B4D"/>
    <w:rsid w:val="000E69AC"/>
    <w:rsid w:val="000F2941"/>
    <w:rsid w:val="000F3A49"/>
    <w:rsid w:val="000F52FD"/>
    <w:rsid w:val="000F59F6"/>
    <w:rsid w:val="001016DC"/>
    <w:rsid w:val="00107F1F"/>
    <w:rsid w:val="00114597"/>
    <w:rsid w:val="00121CB6"/>
    <w:rsid w:val="00124921"/>
    <w:rsid w:val="00125C93"/>
    <w:rsid w:val="00134802"/>
    <w:rsid w:val="0014096A"/>
    <w:rsid w:val="00146E3F"/>
    <w:rsid w:val="0015448B"/>
    <w:rsid w:val="0016357A"/>
    <w:rsid w:val="00170ACB"/>
    <w:rsid w:val="00172325"/>
    <w:rsid w:val="00180FF0"/>
    <w:rsid w:val="00183BFD"/>
    <w:rsid w:val="00190C6E"/>
    <w:rsid w:val="00196CD1"/>
    <w:rsid w:val="001974E6"/>
    <w:rsid w:val="001C1AF7"/>
    <w:rsid w:val="001C31FB"/>
    <w:rsid w:val="001D173F"/>
    <w:rsid w:val="001D5BC2"/>
    <w:rsid w:val="001E0CD8"/>
    <w:rsid w:val="001E1878"/>
    <w:rsid w:val="001F066F"/>
    <w:rsid w:val="001F1ED2"/>
    <w:rsid w:val="00203536"/>
    <w:rsid w:val="00207778"/>
    <w:rsid w:val="00212210"/>
    <w:rsid w:val="00217313"/>
    <w:rsid w:val="0023489C"/>
    <w:rsid w:val="00235820"/>
    <w:rsid w:val="00235949"/>
    <w:rsid w:val="00242F98"/>
    <w:rsid w:val="00246592"/>
    <w:rsid w:val="00246F9E"/>
    <w:rsid w:val="00250EBF"/>
    <w:rsid w:val="00260934"/>
    <w:rsid w:val="00267BA5"/>
    <w:rsid w:val="00270933"/>
    <w:rsid w:val="002712D4"/>
    <w:rsid w:val="00273A10"/>
    <w:rsid w:val="00275956"/>
    <w:rsid w:val="00280C66"/>
    <w:rsid w:val="00292526"/>
    <w:rsid w:val="00296CAA"/>
    <w:rsid w:val="002A0EB8"/>
    <w:rsid w:val="002A2803"/>
    <w:rsid w:val="002A2C6D"/>
    <w:rsid w:val="002B126D"/>
    <w:rsid w:val="002B367F"/>
    <w:rsid w:val="002B389C"/>
    <w:rsid w:val="002B773B"/>
    <w:rsid w:val="002C41F5"/>
    <w:rsid w:val="002D4125"/>
    <w:rsid w:val="002D6BD1"/>
    <w:rsid w:val="002E1576"/>
    <w:rsid w:val="002E1E34"/>
    <w:rsid w:val="002F1F98"/>
    <w:rsid w:val="00304E3C"/>
    <w:rsid w:val="0031172E"/>
    <w:rsid w:val="003208E9"/>
    <w:rsid w:val="003420AD"/>
    <w:rsid w:val="00343081"/>
    <w:rsid w:val="00351D76"/>
    <w:rsid w:val="00365E5F"/>
    <w:rsid w:val="00375CDA"/>
    <w:rsid w:val="00382D40"/>
    <w:rsid w:val="00387404"/>
    <w:rsid w:val="003906FA"/>
    <w:rsid w:val="003967DE"/>
    <w:rsid w:val="003A0D61"/>
    <w:rsid w:val="003A5609"/>
    <w:rsid w:val="003C30DD"/>
    <w:rsid w:val="003D350A"/>
    <w:rsid w:val="003D7581"/>
    <w:rsid w:val="003F5313"/>
    <w:rsid w:val="003F637E"/>
    <w:rsid w:val="004026EC"/>
    <w:rsid w:val="00403C02"/>
    <w:rsid w:val="004047E6"/>
    <w:rsid w:val="00410665"/>
    <w:rsid w:val="004226F2"/>
    <w:rsid w:val="00427C67"/>
    <w:rsid w:val="00431B56"/>
    <w:rsid w:val="00442351"/>
    <w:rsid w:val="004573D9"/>
    <w:rsid w:val="00472C76"/>
    <w:rsid w:val="004748A2"/>
    <w:rsid w:val="004754F0"/>
    <w:rsid w:val="0047577B"/>
    <w:rsid w:val="00483FCA"/>
    <w:rsid w:val="004845B4"/>
    <w:rsid w:val="004852FC"/>
    <w:rsid w:val="00491076"/>
    <w:rsid w:val="00491EFF"/>
    <w:rsid w:val="004A19C3"/>
    <w:rsid w:val="004B04EF"/>
    <w:rsid w:val="004B63B1"/>
    <w:rsid w:val="004D3FC6"/>
    <w:rsid w:val="004E051F"/>
    <w:rsid w:val="004E1CA5"/>
    <w:rsid w:val="004F0811"/>
    <w:rsid w:val="004F156E"/>
    <w:rsid w:val="00522967"/>
    <w:rsid w:val="005246CE"/>
    <w:rsid w:val="005277FD"/>
    <w:rsid w:val="00541107"/>
    <w:rsid w:val="005424DA"/>
    <w:rsid w:val="0054384F"/>
    <w:rsid w:val="00551E8E"/>
    <w:rsid w:val="0058788C"/>
    <w:rsid w:val="00592DF5"/>
    <w:rsid w:val="00596005"/>
    <w:rsid w:val="005A0103"/>
    <w:rsid w:val="005A619F"/>
    <w:rsid w:val="005A71D6"/>
    <w:rsid w:val="005B62FF"/>
    <w:rsid w:val="005C2FC3"/>
    <w:rsid w:val="005D0972"/>
    <w:rsid w:val="005D4A4C"/>
    <w:rsid w:val="005D6BE9"/>
    <w:rsid w:val="005F0AB3"/>
    <w:rsid w:val="005F2BC9"/>
    <w:rsid w:val="005F3D60"/>
    <w:rsid w:val="005F7008"/>
    <w:rsid w:val="006041C0"/>
    <w:rsid w:val="0061401D"/>
    <w:rsid w:val="00620692"/>
    <w:rsid w:val="00620DC4"/>
    <w:rsid w:val="006329B1"/>
    <w:rsid w:val="006426DD"/>
    <w:rsid w:val="00646F52"/>
    <w:rsid w:val="00653B8F"/>
    <w:rsid w:val="00663371"/>
    <w:rsid w:val="0067057C"/>
    <w:rsid w:val="0069368D"/>
    <w:rsid w:val="00694635"/>
    <w:rsid w:val="0069754E"/>
    <w:rsid w:val="006A0DDA"/>
    <w:rsid w:val="006A13B4"/>
    <w:rsid w:val="006B2AF3"/>
    <w:rsid w:val="006B410C"/>
    <w:rsid w:val="006B548F"/>
    <w:rsid w:val="006C39D2"/>
    <w:rsid w:val="006E6C64"/>
    <w:rsid w:val="006F600D"/>
    <w:rsid w:val="00713FED"/>
    <w:rsid w:val="00717B4B"/>
    <w:rsid w:val="007200B5"/>
    <w:rsid w:val="00732123"/>
    <w:rsid w:val="00734A7E"/>
    <w:rsid w:val="0074638A"/>
    <w:rsid w:val="00752B8A"/>
    <w:rsid w:val="00763217"/>
    <w:rsid w:val="00764433"/>
    <w:rsid w:val="007702A1"/>
    <w:rsid w:val="0077552E"/>
    <w:rsid w:val="00782B68"/>
    <w:rsid w:val="00786862"/>
    <w:rsid w:val="007B6924"/>
    <w:rsid w:val="007D346E"/>
    <w:rsid w:val="007D4E33"/>
    <w:rsid w:val="007E317C"/>
    <w:rsid w:val="00814CC7"/>
    <w:rsid w:val="00815EE7"/>
    <w:rsid w:val="008230F7"/>
    <w:rsid w:val="00824B24"/>
    <w:rsid w:val="00831301"/>
    <w:rsid w:val="00831DC1"/>
    <w:rsid w:val="00831F30"/>
    <w:rsid w:val="00835E0D"/>
    <w:rsid w:val="008463C8"/>
    <w:rsid w:val="00867DAF"/>
    <w:rsid w:val="00873A13"/>
    <w:rsid w:val="0087676F"/>
    <w:rsid w:val="00876989"/>
    <w:rsid w:val="00881882"/>
    <w:rsid w:val="0089091E"/>
    <w:rsid w:val="00895E93"/>
    <w:rsid w:val="0089660F"/>
    <w:rsid w:val="008A338A"/>
    <w:rsid w:val="008A3981"/>
    <w:rsid w:val="008A7805"/>
    <w:rsid w:val="008B0FF7"/>
    <w:rsid w:val="008C050D"/>
    <w:rsid w:val="008C2246"/>
    <w:rsid w:val="008C2D2D"/>
    <w:rsid w:val="008D5CFE"/>
    <w:rsid w:val="008D7B9A"/>
    <w:rsid w:val="008E4489"/>
    <w:rsid w:val="008E61FE"/>
    <w:rsid w:val="008F520E"/>
    <w:rsid w:val="0090275D"/>
    <w:rsid w:val="00905C75"/>
    <w:rsid w:val="00911283"/>
    <w:rsid w:val="009202A1"/>
    <w:rsid w:val="00931288"/>
    <w:rsid w:val="009325B6"/>
    <w:rsid w:val="00940C60"/>
    <w:rsid w:val="00946BCD"/>
    <w:rsid w:val="009508D0"/>
    <w:rsid w:val="00957782"/>
    <w:rsid w:val="009606E8"/>
    <w:rsid w:val="009609B6"/>
    <w:rsid w:val="009630EE"/>
    <w:rsid w:val="0096551B"/>
    <w:rsid w:val="009A1081"/>
    <w:rsid w:val="009B54E7"/>
    <w:rsid w:val="009B69D3"/>
    <w:rsid w:val="009C7FB9"/>
    <w:rsid w:val="009D7304"/>
    <w:rsid w:val="009E200B"/>
    <w:rsid w:val="009E646F"/>
    <w:rsid w:val="009F2AF9"/>
    <w:rsid w:val="00A00012"/>
    <w:rsid w:val="00A0167C"/>
    <w:rsid w:val="00A02FFA"/>
    <w:rsid w:val="00A03752"/>
    <w:rsid w:val="00A06205"/>
    <w:rsid w:val="00A162F7"/>
    <w:rsid w:val="00A26571"/>
    <w:rsid w:val="00A32C00"/>
    <w:rsid w:val="00A53E49"/>
    <w:rsid w:val="00A542F5"/>
    <w:rsid w:val="00A5755B"/>
    <w:rsid w:val="00A607AE"/>
    <w:rsid w:val="00A63421"/>
    <w:rsid w:val="00A6430E"/>
    <w:rsid w:val="00A80671"/>
    <w:rsid w:val="00A83E66"/>
    <w:rsid w:val="00A85807"/>
    <w:rsid w:val="00A91E59"/>
    <w:rsid w:val="00AA1F49"/>
    <w:rsid w:val="00AB4E5C"/>
    <w:rsid w:val="00AB5967"/>
    <w:rsid w:val="00AD6CB6"/>
    <w:rsid w:val="00AE7B56"/>
    <w:rsid w:val="00AF2497"/>
    <w:rsid w:val="00AF6EC9"/>
    <w:rsid w:val="00B11D26"/>
    <w:rsid w:val="00B27DCC"/>
    <w:rsid w:val="00B57860"/>
    <w:rsid w:val="00B62D7C"/>
    <w:rsid w:val="00B702B8"/>
    <w:rsid w:val="00B7373D"/>
    <w:rsid w:val="00B777FB"/>
    <w:rsid w:val="00B82F1F"/>
    <w:rsid w:val="00BB26C5"/>
    <w:rsid w:val="00BB78C5"/>
    <w:rsid w:val="00BD0293"/>
    <w:rsid w:val="00BE4513"/>
    <w:rsid w:val="00BF4859"/>
    <w:rsid w:val="00C166DD"/>
    <w:rsid w:val="00C6482A"/>
    <w:rsid w:val="00C6769D"/>
    <w:rsid w:val="00C735E4"/>
    <w:rsid w:val="00C73B35"/>
    <w:rsid w:val="00C77A8E"/>
    <w:rsid w:val="00C834A7"/>
    <w:rsid w:val="00C85453"/>
    <w:rsid w:val="00CA3F18"/>
    <w:rsid w:val="00CA67FE"/>
    <w:rsid w:val="00CA7E4A"/>
    <w:rsid w:val="00CB736A"/>
    <w:rsid w:val="00CC2580"/>
    <w:rsid w:val="00CC475D"/>
    <w:rsid w:val="00CC52A6"/>
    <w:rsid w:val="00CD2F45"/>
    <w:rsid w:val="00D03222"/>
    <w:rsid w:val="00D041D5"/>
    <w:rsid w:val="00D05DD5"/>
    <w:rsid w:val="00D146A2"/>
    <w:rsid w:val="00D14EB3"/>
    <w:rsid w:val="00D15334"/>
    <w:rsid w:val="00D22940"/>
    <w:rsid w:val="00D43083"/>
    <w:rsid w:val="00D54D50"/>
    <w:rsid w:val="00D61E09"/>
    <w:rsid w:val="00D62FE1"/>
    <w:rsid w:val="00D66443"/>
    <w:rsid w:val="00D72CF6"/>
    <w:rsid w:val="00D90033"/>
    <w:rsid w:val="00D908F5"/>
    <w:rsid w:val="00DA1113"/>
    <w:rsid w:val="00DB2A58"/>
    <w:rsid w:val="00DB39B2"/>
    <w:rsid w:val="00DB3C31"/>
    <w:rsid w:val="00DB5A51"/>
    <w:rsid w:val="00DB735D"/>
    <w:rsid w:val="00DC0A04"/>
    <w:rsid w:val="00DC564C"/>
    <w:rsid w:val="00DC65A2"/>
    <w:rsid w:val="00DD0B96"/>
    <w:rsid w:val="00DD2D10"/>
    <w:rsid w:val="00DD47C2"/>
    <w:rsid w:val="00DD7811"/>
    <w:rsid w:val="00DE41D6"/>
    <w:rsid w:val="00DE4898"/>
    <w:rsid w:val="00DE59FB"/>
    <w:rsid w:val="00DE6450"/>
    <w:rsid w:val="00DF766F"/>
    <w:rsid w:val="00E06C16"/>
    <w:rsid w:val="00E10D01"/>
    <w:rsid w:val="00E207EE"/>
    <w:rsid w:val="00E22E07"/>
    <w:rsid w:val="00E23D41"/>
    <w:rsid w:val="00E24A6D"/>
    <w:rsid w:val="00E37DFE"/>
    <w:rsid w:val="00E37F00"/>
    <w:rsid w:val="00E43476"/>
    <w:rsid w:val="00E45841"/>
    <w:rsid w:val="00E47C87"/>
    <w:rsid w:val="00E52058"/>
    <w:rsid w:val="00E524D6"/>
    <w:rsid w:val="00E54D8F"/>
    <w:rsid w:val="00E56378"/>
    <w:rsid w:val="00E756EA"/>
    <w:rsid w:val="00E8364C"/>
    <w:rsid w:val="00E90E07"/>
    <w:rsid w:val="00E94F29"/>
    <w:rsid w:val="00E9639A"/>
    <w:rsid w:val="00EA5D60"/>
    <w:rsid w:val="00EA6593"/>
    <w:rsid w:val="00EC137F"/>
    <w:rsid w:val="00EC43F6"/>
    <w:rsid w:val="00EC7FE5"/>
    <w:rsid w:val="00ED07E8"/>
    <w:rsid w:val="00EE0760"/>
    <w:rsid w:val="00EE1C9B"/>
    <w:rsid w:val="00F02D2D"/>
    <w:rsid w:val="00F02E55"/>
    <w:rsid w:val="00F0776F"/>
    <w:rsid w:val="00F15C14"/>
    <w:rsid w:val="00F22745"/>
    <w:rsid w:val="00F24666"/>
    <w:rsid w:val="00F26BFA"/>
    <w:rsid w:val="00F31455"/>
    <w:rsid w:val="00F36026"/>
    <w:rsid w:val="00F44520"/>
    <w:rsid w:val="00F5313E"/>
    <w:rsid w:val="00F9239C"/>
    <w:rsid w:val="00F956BA"/>
    <w:rsid w:val="00F9587E"/>
    <w:rsid w:val="00FC0465"/>
    <w:rsid w:val="00FC34B3"/>
    <w:rsid w:val="00FC39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C03F"/>
  <w15:chartTrackingRefBased/>
  <w15:docId w15:val="{DFD18411-315A-E347-BA75-4FCD7612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5BC2"/>
    <w:rPr>
      <w:color w:val="0563C1" w:themeColor="hyperlink"/>
      <w:u w:val="single"/>
    </w:rPr>
  </w:style>
  <w:style w:type="character" w:styleId="UnresolvedMention">
    <w:name w:val="Unresolved Mention"/>
    <w:basedOn w:val="DefaultParagraphFont"/>
    <w:uiPriority w:val="99"/>
    <w:semiHidden/>
    <w:unhideWhenUsed/>
    <w:rsid w:val="001D5BC2"/>
    <w:rPr>
      <w:color w:val="605E5C"/>
      <w:shd w:val="clear" w:color="auto" w:fill="E1DFDD"/>
    </w:rPr>
  </w:style>
  <w:style w:type="table" w:styleId="TableGrid">
    <w:name w:val="Table Grid"/>
    <w:basedOn w:val="TableNormal"/>
    <w:uiPriority w:val="39"/>
    <w:rsid w:val="00A542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42F5"/>
    <w:pPr>
      <w:spacing w:after="200"/>
    </w:pPr>
    <w:rPr>
      <w:i/>
      <w:iCs/>
      <w:color w:val="44546A" w:themeColor="text2"/>
      <w:sz w:val="18"/>
      <w:szCs w:val="18"/>
    </w:rPr>
  </w:style>
  <w:style w:type="paragraph" w:styleId="ListParagraph">
    <w:name w:val="List Paragraph"/>
    <w:basedOn w:val="Normal"/>
    <w:uiPriority w:val="34"/>
    <w:qFormat/>
    <w:rsid w:val="002E1E34"/>
    <w:pPr>
      <w:ind w:left="720"/>
      <w:contextualSpacing/>
    </w:pPr>
  </w:style>
  <w:style w:type="paragraph" w:styleId="Bibliography">
    <w:name w:val="Bibliography"/>
    <w:basedOn w:val="Normal"/>
    <w:next w:val="Normal"/>
    <w:uiPriority w:val="37"/>
    <w:unhideWhenUsed/>
    <w:rsid w:val="00107F1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8333">
      <w:bodyDiv w:val="1"/>
      <w:marLeft w:val="0"/>
      <w:marRight w:val="0"/>
      <w:marTop w:val="0"/>
      <w:marBottom w:val="0"/>
      <w:divBdr>
        <w:top w:val="none" w:sz="0" w:space="0" w:color="auto"/>
        <w:left w:val="none" w:sz="0" w:space="0" w:color="auto"/>
        <w:bottom w:val="none" w:sz="0" w:space="0" w:color="auto"/>
        <w:right w:val="none" w:sz="0" w:space="0" w:color="auto"/>
      </w:divBdr>
    </w:div>
    <w:div w:id="437484242">
      <w:bodyDiv w:val="1"/>
      <w:marLeft w:val="0"/>
      <w:marRight w:val="0"/>
      <w:marTop w:val="0"/>
      <w:marBottom w:val="0"/>
      <w:divBdr>
        <w:top w:val="none" w:sz="0" w:space="0" w:color="auto"/>
        <w:left w:val="none" w:sz="0" w:space="0" w:color="auto"/>
        <w:bottom w:val="none" w:sz="0" w:space="0" w:color="auto"/>
        <w:right w:val="none" w:sz="0" w:space="0" w:color="auto"/>
      </w:divBdr>
    </w:div>
    <w:div w:id="13345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B746-DBAE-46CD-85E8-26AF134C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Links>
    <vt:vector size="18" baseType="variant">
      <vt:variant>
        <vt:i4>1376364</vt:i4>
      </vt:variant>
      <vt:variant>
        <vt:i4>15</vt:i4>
      </vt:variant>
      <vt:variant>
        <vt:i4>0</vt:i4>
      </vt:variant>
      <vt:variant>
        <vt:i4>5</vt:i4>
      </vt:variant>
      <vt:variant>
        <vt:lpwstr>file:///C:/Users/cmc50/Downloads/2023-09-05_simpcw_interim_stewardship_plan_(005).pdf</vt:lpwstr>
      </vt:variant>
      <vt:variant>
        <vt:lpwstr/>
      </vt:variant>
      <vt:variant>
        <vt:i4>6160403</vt:i4>
      </vt:variant>
      <vt:variant>
        <vt:i4>12</vt:i4>
      </vt:variant>
      <vt:variant>
        <vt:i4>0</vt:i4>
      </vt:variant>
      <vt:variant>
        <vt:i4>5</vt:i4>
      </vt:variant>
      <vt:variant>
        <vt:lpwstr>https://secwepemcstrong.com/secwepemc-governance-4-pillars-overview/</vt:lpwstr>
      </vt:variant>
      <vt:variant>
        <vt:lpwstr/>
      </vt:variant>
      <vt:variant>
        <vt:i4>5701658</vt:i4>
      </vt:variant>
      <vt:variant>
        <vt:i4>3</vt:i4>
      </vt:variant>
      <vt:variant>
        <vt:i4>0</vt:i4>
      </vt:variant>
      <vt:variant>
        <vt:i4>5</vt:i4>
      </vt:variant>
      <vt:variant>
        <vt:lpwstr>https://iaac-aeic.gc.ca/050/documents/p61898/100972E.pdf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Carson</dc:creator>
  <cp:keywords/>
  <dc:description/>
  <cp:lastModifiedBy>Christian Carson</cp:lastModifiedBy>
  <cp:revision>271</cp:revision>
  <cp:lastPrinted>2024-02-06T07:58:00Z</cp:lastPrinted>
  <dcterms:created xsi:type="dcterms:W3CDTF">2024-02-05T03:30:00Z</dcterms:created>
  <dcterms:modified xsi:type="dcterms:W3CDTF">2024-02-06T07:59:00Z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id="qg22gZqN"/&gt;&lt;style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